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22" w:rsidRPr="00CF30B8" w:rsidRDefault="00FB554E" w:rsidP="00307B63">
      <w:pPr>
        <w:pStyle w:val="Frontpageheading"/>
        <w:spacing w:line="240" w:lineRule="auto"/>
        <w:rPr>
          <w:b w:val="0"/>
          <w:szCs w:val="24"/>
        </w:rPr>
      </w:pPr>
      <w:r w:rsidRPr="00CF30B8">
        <w:rPr>
          <w:b w:val="0"/>
          <w:szCs w:val="24"/>
        </w:rPr>
        <w:t xml:space="preserve">the </w:t>
      </w:r>
      <w:r w:rsidR="001A4F1C" w:rsidRPr="00CF30B8">
        <w:rPr>
          <w:b w:val="0"/>
          <w:szCs w:val="24"/>
        </w:rPr>
        <w:t>SUPREME COURT OF APPEAL</w:t>
      </w:r>
      <w:r w:rsidR="000E3022" w:rsidRPr="00CF30B8">
        <w:rPr>
          <w:b w:val="0"/>
          <w:szCs w:val="24"/>
        </w:rPr>
        <w:t xml:space="preserve"> OF SOUTH AFRICA</w:t>
      </w:r>
    </w:p>
    <w:p w:rsidR="008D2832" w:rsidRPr="00CF30B8" w:rsidRDefault="00B85D66" w:rsidP="00307B63">
      <w:pPr>
        <w:pStyle w:val="Unnumberedtext"/>
        <w:tabs>
          <w:tab w:val="right" w:pos="9070"/>
        </w:tabs>
        <w:spacing w:after="0" w:line="240" w:lineRule="auto"/>
        <w:jc w:val="right"/>
        <w:rPr>
          <w:szCs w:val="24"/>
        </w:rPr>
      </w:pPr>
      <w:r w:rsidRPr="00CF30B8">
        <w:rPr>
          <w:szCs w:val="24"/>
        </w:rPr>
        <w:t xml:space="preserve">Case </w:t>
      </w:r>
      <w:r w:rsidR="003C7C7F" w:rsidRPr="00CF30B8">
        <w:rPr>
          <w:szCs w:val="24"/>
        </w:rPr>
        <w:t>No</w:t>
      </w:r>
      <w:r w:rsidRPr="00CF30B8">
        <w:rPr>
          <w:szCs w:val="24"/>
        </w:rPr>
        <w:t>:</w:t>
      </w:r>
      <w:r w:rsidR="005A73BB" w:rsidRPr="00CF30B8">
        <w:rPr>
          <w:szCs w:val="24"/>
        </w:rPr>
        <w:t xml:space="preserve"> </w:t>
      </w:r>
      <w:r w:rsidR="00E540A9" w:rsidRPr="00CF30B8">
        <w:rPr>
          <w:szCs w:val="24"/>
        </w:rPr>
        <w:t>38/2015</w:t>
      </w:r>
    </w:p>
    <w:p w:rsidR="001A4F1C" w:rsidRPr="00CF30B8" w:rsidRDefault="001A4F1C" w:rsidP="00307B63">
      <w:pPr>
        <w:tabs>
          <w:tab w:val="right" w:pos="9070"/>
        </w:tabs>
        <w:spacing w:before="0" w:after="0" w:line="240" w:lineRule="auto"/>
        <w:rPr>
          <w:szCs w:val="24"/>
        </w:rPr>
      </w:pPr>
    </w:p>
    <w:p w:rsidR="00674A05" w:rsidRPr="00CF30B8" w:rsidRDefault="00B85D66" w:rsidP="00307B63">
      <w:pPr>
        <w:tabs>
          <w:tab w:val="left" w:pos="5103"/>
        </w:tabs>
        <w:spacing w:after="0" w:line="240" w:lineRule="auto"/>
        <w:rPr>
          <w:szCs w:val="24"/>
        </w:rPr>
      </w:pPr>
      <w:r w:rsidRPr="00CF30B8">
        <w:rPr>
          <w:szCs w:val="24"/>
        </w:rPr>
        <w:t>In the</w:t>
      </w:r>
      <w:r w:rsidR="00116226" w:rsidRPr="00CF30B8">
        <w:rPr>
          <w:i/>
          <w:szCs w:val="24"/>
        </w:rPr>
        <w:t xml:space="preserve"> </w:t>
      </w:r>
      <w:r w:rsidR="00116226" w:rsidRPr="00CF30B8">
        <w:rPr>
          <w:szCs w:val="24"/>
        </w:rPr>
        <w:t>matter between</w:t>
      </w:r>
      <w:r w:rsidRPr="00CF30B8">
        <w:rPr>
          <w:szCs w:val="24"/>
        </w:rPr>
        <w:t>:</w:t>
      </w:r>
    </w:p>
    <w:p w:rsidR="009C4B75" w:rsidRPr="00CF30B8" w:rsidRDefault="009C4B75" w:rsidP="00307B63">
      <w:pPr>
        <w:tabs>
          <w:tab w:val="left" w:pos="5103"/>
        </w:tabs>
        <w:spacing w:after="0" w:line="240" w:lineRule="auto"/>
        <w:rPr>
          <w:szCs w:val="24"/>
        </w:rPr>
      </w:pPr>
    </w:p>
    <w:p w:rsidR="009C4B75" w:rsidRPr="00CF30B8" w:rsidRDefault="009C4B75" w:rsidP="00307B63">
      <w:pPr>
        <w:tabs>
          <w:tab w:val="right" w:pos="8789"/>
        </w:tabs>
        <w:spacing w:before="0" w:after="0" w:line="240" w:lineRule="auto"/>
        <w:rPr>
          <w:szCs w:val="24"/>
        </w:rPr>
      </w:pPr>
      <w:r w:rsidRPr="00CF30B8">
        <w:rPr>
          <w:szCs w:val="24"/>
        </w:rPr>
        <w:t>CITY OF TSHWANE METROPOLITAN</w:t>
      </w:r>
    </w:p>
    <w:p w:rsidR="009C4B75" w:rsidRPr="00CF30B8" w:rsidRDefault="009C4B75" w:rsidP="00307B63">
      <w:pPr>
        <w:tabs>
          <w:tab w:val="right" w:pos="9072"/>
        </w:tabs>
        <w:spacing w:before="0" w:after="0" w:line="240" w:lineRule="auto"/>
        <w:rPr>
          <w:szCs w:val="24"/>
        </w:rPr>
      </w:pPr>
      <w:r w:rsidRPr="00CF30B8">
        <w:rPr>
          <w:szCs w:val="24"/>
        </w:rPr>
        <w:t>MUNICIPALITY</w:t>
      </w:r>
      <w:r w:rsidRPr="00CF30B8">
        <w:rPr>
          <w:szCs w:val="24"/>
        </w:rPr>
        <w:tab/>
        <w:t>APPELLANT</w:t>
      </w:r>
    </w:p>
    <w:p w:rsidR="009C4B75" w:rsidRPr="00CF30B8" w:rsidRDefault="009C4B75" w:rsidP="00307B63">
      <w:pPr>
        <w:tabs>
          <w:tab w:val="right" w:pos="9072"/>
        </w:tabs>
        <w:spacing w:before="0" w:after="0" w:line="240" w:lineRule="auto"/>
        <w:rPr>
          <w:szCs w:val="24"/>
        </w:rPr>
      </w:pPr>
    </w:p>
    <w:p w:rsidR="009C4B75" w:rsidRPr="00CF30B8" w:rsidRDefault="009C4B75" w:rsidP="00307B63">
      <w:pPr>
        <w:tabs>
          <w:tab w:val="right" w:pos="9072"/>
        </w:tabs>
        <w:spacing w:before="0" w:after="0" w:line="240" w:lineRule="auto"/>
        <w:rPr>
          <w:szCs w:val="24"/>
        </w:rPr>
      </w:pPr>
      <w:proofErr w:type="gramStart"/>
      <w:r w:rsidRPr="00CF30B8">
        <w:rPr>
          <w:szCs w:val="24"/>
        </w:rPr>
        <w:t>and</w:t>
      </w:r>
      <w:proofErr w:type="gramEnd"/>
    </w:p>
    <w:p w:rsidR="009C4B75" w:rsidRPr="00CF30B8" w:rsidRDefault="009C4B75" w:rsidP="00307B63">
      <w:pPr>
        <w:tabs>
          <w:tab w:val="right" w:pos="9072"/>
        </w:tabs>
        <w:spacing w:before="0" w:after="0" w:line="240" w:lineRule="auto"/>
        <w:rPr>
          <w:szCs w:val="24"/>
        </w:rPr>
      </w:pPr>
    </w:p>
    <w:p w:rsidR="009C4B75" w:rsidRPr="00CF30B8" w:rsidRDefault="00C27BE0" w:rsidP="00307B63">
      <w:pPr>
        <w:tabs>
          <w:tab w:val="right" w:pos="9072"/>
        </w:tabs>
        <w:spacing w:before="0" w:after="0" w:line="240" w:lineRule="auto"/>
        <w:rPr>
          <w:szCs w:val="24"/>
        </w:rPr>
      </w:pPr>
      <w:r w:rsidRPr="00CF30B8">
        <w:rPr>
          <w:szCs w:val="24"/>
        </w:rPr>
        <w:t>PE</w:t>
      </w:r>
      <w:r w:rsidR="007E0927" w:rsidRPr="00CF30B8">
        <w:rPr>
          <w:szCs w:val="24"/>
        </w:rPr>
        <w:t>R</w:t>
      </w:r>
      <w:r w:rsidR="009C4B75" w:rsidRPr="00CF30B8">
        <w:rPr>
          <w:szCs w:val="24"/>
        </w:rPr>
        <w:t>EGRINE JOSEPH MITCHELL</w:t>
      </w:r>
      <w:r w:rsidR="009C4B75" w:rsidRPr="00CF30B8">
        <w:rPr>
          <w:szCs w:val="24"/>
        </w:rPr>
        <w:tab/>
        <w:t>RESPONDENT</w:t>
      </w:r>
    </w:p>
    <w:p w:rsidR="00BC11F4" w:rsidRPr="00CF30B8" w:rsidRDefault="00854876" w:rsidP="00307B63">
      <w:pPr>
        <w:pStyle w:val="Unnumberedtext"/>
        <w:spacing w:before="360" w:line="240" w:lineRule="auto"/>
        <w:contextualSpacing/>
        <w:rPr>
          <w:szCs w:val="24"/>
        </w:rPr>
      </w:pPr>
      <w:r w:rsidRPr="00CF30B8">
        <w:rPr>
          <w:szCs w:val="24"/>
        </w:rPr>
        <w:t xml:space="preserve">Neutral citation: </w:t>
      </w:r>
      <w:r w:rsidR="0062043A" w:rsidRPr="00CF30B8">
        <w:rPr>
          <w:i/>
          <w:szCs w:val="24"/>
        </w:rPr>
        <w:t>City of Ts</w:t>
      </w:r>
      <w:r w:rsidR="00E423C2" w:rsidRPr="00CF30B8">
        <w:rPr>
          <w:i/>
          <w:szCs w:val="24"/>
        </w:rPr>
        <w:t>h</w:t>
      </w:r>
      <w:r w:rsidR="0062043A" w:rsidRPr="00CF30B8">
        <w:rPr>
          <w:i/>
          <w:szCs w:val="24"/>
        </w:rPr>
        <w:t>wane Metropolitan Municipality v PJ Mitchell</w:t>
      </w:r>
      <w:r w:rsidR="0062043A" w:rsidRPr="00CF30B8">
        <w:rPr>
          <w:szCs w:val="24"/>
        </w:rPr>
        <w:t xml:space="preserve"> (38/2015</w:t>
      </w:r>
      <w:r w:rsidR="008F79F1" w:rsidRPr="00CF30B8">
        <w:rPr>
          <w:szCs w:val="24"/>
        </w:rPr>
        <w:t>)</w:t>
      </w:r>
      <w:r w:rsidR="0062043A" w:rsidRPr="00CF30B8">
        <w:rPr>
          <w:szCs w:val="24"/>
        </w:rPr>
        <w:t xml:space="preserve"> </w:t>
      </w:r>
      <w:r w:rsidR="008F79F1" w:rsidRPr="00CF30B8">
        <w:rPr>
          <w:szCs w:val="24"/>
        </w:rPr>
        <w:t>[</w:t>
      </w:r>
      <w:r w:rsidR="0062043A" w:rsidRPr="00CF30B8">
        <w:rPr>
          <w:szCs w:val="24"/>
        </w:rPr>
        <w:t>2015</w:t>
      </w:r>
      <w:r w:rsidR="008F79F1" w:rsidRPr="00CF30B8">
        <w:rPr>
          <w:szCs w:val="24"/>
        </w:rPr>
        <w:t>]</w:t>
      </w:r>
      <w:r w:rsidR="0062043A" w:rsidRPr="00CF30B8">
        <w:rPr>
          <w:szCs w:val="24"/>
        </w:rPr>
        <w:t xml:space="preserve"> ZASCA</w:t>
      </w:r>
      <w:r w:rsidR="00324D20" w:rsidRPr="00CF30B8">
        <w:rPr>
          <w:szCs w:val="24"/>
        </w:rPr>
        <w:t xml:space="preserve"> </w:t>
      </w:r>
      <w:r w:rsidR="00650438" w:rsidRPr="00CF30B8">
        <w:rPr>
          <w:szCs w:val="24"/>
        </w:rPr>
        <w:t>1</w:t>
      </w:r>
      <w:r w:rsidR="0062043A" w:rsidRPr="00CF30B8">
        <w:rPr>
          <w:szCs w:val="24"/>
        </w:rPr>
        <w:t xml:space="preserve"> </w:t>
      </w:r>
      <w:r w:rsidR="008F79F1" w:rsidRPr="00CF30B8">
        <w:rPr>
          <w:szCs w:val="24"/>
        </w:rPr>
        <w:t>(</w:t>
      </w:r>
      <w:r w:rsidR="007E1ECB" w:rsidRPr="00CF30B8">
        <w:rPr>
          <w:szCs w:val="24"/>
        </w:rPr>
        <w:t>29</w:t>
      </w:r>
      <w:r w:rsidR="00BC11F4" w:rsidRPr="00CF30B8">
        <w:rPr>
          <w:szCs w:val="24"/>
        </w:rPr>
        <w:t xml:space="preserve"> January 2016)</w:t>
      </w:r>
    </w:p>
    <w:p w:rsidR="00854876" w:rsidRPr="00CF30B8" w:rsidRDefault="00854876" w:rsidP="00307B63">
      <w:pPr>
        <w:pStyle w:val="Unnumberedtext"/>
        <w:spacing w:before="360" w:line="240" w:lineRule="auto"/>
        <w:ind w:left="2160" w:hanging="2160"/>
        <w:contextualSpacing/>
        <w:rPr>
          <w:szCs w:val="24"/>
        </w:rPr>
      </w:pPr>
      <w:r w:rsidRPr="00CF30B8">
        <w:rPr>
          <w:szCs w:val="24"/>
        </w:rPr>
        <w:t xml:space="preserve">Coram: </w:t>
      </w:r>
      <w:r w:rsidR="00307B63" w:rsidRPr="00CF30B8">
        <w:rPr>
          <w:szCs w:val="24"/>
        </w:rPr>
        <w:t xml:space="preserve"> </w:t>
      </w:r>
      <w:proofErr w:type="spellStart"/>
      <w:r w:rsidR="0062043A" w:rsidRPr="00CF30B8">
        <w:rPr>
          <w:szCs w:val="24"/>
        </w:rPr>
        <w:t>Mpa</w:t>
      </w:r>
      <w:r w:rsidR="00E423C2" w:rsidRPr="00CF30B8">
        <w:rPr>
          <w:szCs w:val="24"/>
        </w:rPr>
        <w:t>ti</w:t>
      </w:r>
      <w:proofErr w:type="spellEnd"/>
      <w:r w:rsidR="00E423C2" w:rsidRPr="00CF30B8">
        <w:rPr>
          <w:szCs w:val="24"/>
        </w:rPr>
        <w:t xml:space="preserve"> P, </w:t>
      </w:r>
      <w:proofErr w:type="spellStart"/>
      <w:r w:rsidR="00E423C2" w:rsidRPr="00CF30B8">
        <w:rPr>
          <w:szCs w:val="24"/>
        </w:rPr>
        <w:t>Bosielo</w:t>
      </w:r>
      <w:proofErr w:type="spellEnd"/>
      <w:r w:rsidR="00E423C2" w:rsidRPr="00CF30B8">
        <w:rPr>
          <w:szCs w:val="24"/>
        </w:rPr>
        <w:t xml:space="preserve">, </w:t>
      </w:r>
      <w:proofErr w:type="spellStart"/>
      <w:r w:rsidR="00E423C2" w:rsidRPr="00CF30B8">
        <w:rPr>
          <w:szCs w:val="24"/>
        </w:rPr>
        <w:t>Saldulker</w:t>
      </w:r>
      <w:proofErr w:type="spellEnd"/>
      <w:r w:rsidR="00E423C2" w:rsidRPr="00CF30B8">
        <w:rPr>
          <w:szCs w:val="24"/>
        </w:rPr>
        <w:t xml:space="preserve"> and Zondi JJA and </w:t>
      </w:r>
      <w:proofErr w:type="spellStart"/>
      <w:r w:rsidR="00FE5B3E" w:rsidRPr="00CF30B8">
        <w:rPr>
          <w:szCs w:val="24"/>
        </w:rPr>
        <w:t>Baartman</w:t>
      </w:r>
      <w:proofErr w:type="spellEnd"/>
      <w:r w:rsidR="00FE5B3E" w:rsidRPr="00CF30B8">
        <w:rPr>
          <w:szCs w:val="24"/>
        </w:rPr>
        <w:t xml:space="preserve"> AJA</w:t>
      </w:r>
    </w:p>
    <w:p w:rsidR="00854876" w:rsidRPr="00CF30B8" w:rsidRDefault="00854876" w:rsidP="00307B63">
      <w:pPr>
        <w:pStyle w:val="Unnumberedtext"/>
        <w:tabs>
          <w:tab w:val="left" w:pos="2127"/>
        </w:tabs>
        <w:spacing w:line="240" w:lineRule="auto"/>
        <w:contextualSpacing/>
        <w:rPr>
          <w:szCs w:val="24"/>
        </w:rPr>
      </w:pPr>
      <w:r w:rsidRPr="00CF30B8">
        <w:rPr>
          <w:szCs w:val="24"/>
        </w:rPr>
        <w:t xml:space="preserve">Heard: </w:t>
      </w:r>
      <w:r w:rsidR="00307B63" w:rsidRPr="00CF30B8">
        <w:rPr>
          <w:szCs w:val="24"/>
        </w:rPr>
        <w:t xml:space="preserve"> </w:t>
      </w:r>
      <w:r w:rsidR="00FE5B3E" w:rsidRPr="00CF30B8">
        <w:rPr>
          <w:szCs w:val="24"/>
        </w:rPr>
        <w:t>4 November 2015</w:t>
      </w:r>
    </w:p>
    <w:p w:rsidR="00854876" w:rsidRPr="00CF30B8" w:rsidRDefault="00854876" w:rsidP="00307B63">
      <w:pPr>
        <w:pStyle w:val="Unnumberedtext"/>
        <w:tabs>
          <w:tab w:val="left" w:pos="2127"/>
        </w:tabs>
        <w:spacing w:line="240" w:lineRule="auto"/>
        <w:contextualSpacing/>
        <w:rPr>
          <w:szCs w:val="24"/>
        </w:rPr>
      </w:pPr>
      <w:r w:rsidRPr="00CF30B8">
        <w:rPr>
          <w:szCs w:val="24"/>
        </w:rPr>
        <w:t>Delivered:</w:t>
      </w:r>
      <w:r w:rsidR="00A74057" w:rsidRPr="00CF30B8">
        <w:rPr>
          <w:szCs w:val="24"/>
        </w:rPr>
        <w:t xml:space="preserve"> </w:t>
      </w:r>
      <w:r w:rsidR="00307B63" w:rsidRPr="00CF30B8">
        <w:rPr>
          <w:szCs w:val="24"/>
        </w:rPr>
        <w:t xml:space="preserve"> </w:t>
      </w:r>
      <w:r w:rsidR="00037E19" w:rsidRPr="00CF30B8">
        <w:rPr>
          <w:szCs w:val="24"/>
        </w:rPr>
        <w:t>2</w:t>
      </w:r>
      <w:r w:rsidR="00A46BEE" w:rsidRPr="00CF30B8">
        <w:rPr>
          <w:szCs w:val="24"/>
        </w:rPr>
        <w:t>9</w:t>
      </w:r>
      <w:r w:rsidR="00037E19" w:rsidRPr="00CF30B8">
        <w:rPr>
          <w:szCs w:val="24"/>
        </w:rPr>
        <w:t xml:space="preserve"> </w:t>
      </w:r>
      <w:r w:rsidR="00BC11F4" w:rsidRPr="00CF30B8">
        <w:rPr>
          <w:szCs w:val="24"/>
        </w:rPr>
        <w:t>January</w:t>
      </w:r>
      <w:r w:rsidR="007C2435" w:rsidRPr="00CF30B8">
        <w:rPr>
          <w:szCs w:val="24"/>
        </w:rPr>
        <w:t xml:space="preserve"> 2016</w:t>
      </w:r>
    </w:p>
    <w:p w:rsidR="00854876" w:rsidRPr="00CF30B8" w:rsidRDefault="00854876" w:rsidP="00307B63">
      <w:pPr>
        <w:pStyle w:val="Unnumberedtext"/>
        <w:spacing w:before="360" w:line="240" w:lineRule="auto"/>
        <w:rPr>
          <w:szCs w:val="24"/>
        </w:rPr>
      </w:pPr>
      <w:r w:rsidRPr="00CF30B8">
        <w:rPr>
          <w:szCs w:val="24"/>
        </w:rPr>
        <w:t xml:space="preserve">Summary: </w:t>
      </w:r>
      <w:r w:rsidR="003B1967" w:rsidRPr="00CF30B8">
        <w:rPr>
          <w:szCs w:val="24"/>
        </w:rPr>
        <w:t xml:space="preserve">Local Government </w:t>
      </w:r>
      <w:r w:rsidR="00AA5DFE" w:rsidRPr="00CF30B8">
        <w:rPr>
          <w:rFonts w:ascii="Calibri" w:hAnsi="Calibri"/>
          <w:szCs w:val="24"/>
        </w:rPr>
        <w:t>–</w:t>
      </w:r>
      <w:r w:rsidR="003B1967" w:rsidRPr="00CF30B8">
        <w:rPr>
          <w:szCs w:val="24"/>
        </w:rPr>
        <w:t xml:space="preserve"> </w:t>
      </w:r>
      <w:r w:rsidR="002D1AD9" w:rsidRPr="00CF30B8">
        <w:rPr>
          <w:szCs w:val="24"/>
        </w:rPr>
        <w:t xml:space="preserve">Section </w:t>
      </w:r>
      <w:r w:rsidR="00BD36F1" w:rsidRPr="00CF30B8">
        <w:rPr>
          <w:szCs w:val="24"/>
        </w:rPr>
        <w:t xml:space="preserve">118(3) of the </w:t>
      </w:r>
      <w:r w:rsidR="003C7C7F" w:rsidRPr="00CF30B8">
        <w:rPr>
          <w:szCs w:val="24"/>
        </w:rPr>
        <w:t xml:space="preserve">Local Government: </w:t>
      </w:r>
      <w:r w:rsidR="00BD36F1" w:rsidRPr="00CF30B8">
        <w:rPr>
          <w:szCs w:val="24"/>
        </w:rPr>
        <w:t>Municipal Systems Act 32 of 2000 creat</w:t>
      </w:r>
      <w:r w:rsidR="005478C0" w:rsidRPr="00CF30B8">
        <w:rPr>
          <w:szCs w:val="24"/>
        </w:rPr>
        <w:t>ing</w:t>
      </w:r>
      <w:r w:rsidR="00BD36F1" w:rsidRPr="00CF30B8">
        <w:rPr>
          <w:szCs w:val="24"/>
        </w:rPr>
        <w:t xml:space="preserve"> </w:t>
      </w:r>
      <w:r w:rsidR="00662BCF" w:rsidRPr="00CF30B8">
        <w:rPr>
          <w:szCs w:val="24"/>
        </w:rPr>
        <w:t xml:space="preserve">charge on land </w:t>
      </w:r>
      <w:r w:rsidR="00BD36F1" w:rsidRPr="00CF30B8">
        <w:rPr>
          <w:szCs w:val="24"/>
        </w:rPr>
        <w:t xml:space="preserve">(hypothec) </w:t>
      </w:r>
      <w:r w:rsidR="005478C0" w:rsidRPr="00CF30B8">
        <w:rPr>
          <w:szCs w:val="24"/>
        </w:rPr>
        <w:t>in favour of</w:t>
      </w:r>
      <w:r w:rsidR="00BD36F1" w:rsidRPr="00CF30B8">
        <w:rPr>
          <w:szCs w:val="24"/>
        </w:rPr>
        <w:t xml:space="preserve"> municipality</w:t>
      </w:r>
      <w:r w:rsidR="002D1AD9" w:rsidRPr="00CF30B8">
        <w:rPr>
          <w:szCs w:val="24"/>
        </w:rPr>
        <w:t xml:space="preserve"> </w:t>
      </w:r>
      <w:r w:rsidR="00662BCF" w:rsidRPr="00CF30B8">
        <w:rPr>
          <w:szCs w:val="24"/>
        </w:rPr>
        <w:t xml:space="preserve">for </w:t>
      </w:r>
      <w:r w:rsidR="005478C0" w:rsidRPr="00CF30B8">
        <w:rPr>
          <w:szCs w:val="24"/>
        </w:rPr>
        <w:t>debt</w:t>
      </w:r>
      <w:r w:rsidR="00662BCF" w:rsidRPr="00CF30B8">
        <w:rPr>
          <w:szCs w:val="24"/>
        </w:rPr>
        <w:t xml:space="preserve"> </w:t>
      </w:r>
      <w:r w:rsidR="005478C0" w:rsidRPr="00CF30B8">
        <w:rPr>
          <w:szCs w:val="24"/>
        </w:rPr>
        <w:t xml:space="preserve">due to it for rates, taxes and services </w:t>
      </w:r>
      <w:r w:rsidR="002D1AD9" w:rsidRPr="00CF30B8">
        <w:rPr>
          <w:rFonts w:ascii="Calibri" w:hAnsi="Calibri"/>
          <w:szCs w:val="24"/>
        </w:rPr>
        <w:t>–</w:t>
      </w:r>
      <w:r w:rsidR="00BD36F1" w:rsidRPr="00CF30B8">
        <w:rPr>
          <w:szCs w:val="24"/>
        </w:rPr>
        <w:t xml:space="preserve"> hypothec </w:t>
      </w:r>
      <w:r w:rsidR="00662BCF" w:rsidRPr="00CF30B8">
        <w:rPr>
          <w:szCs w:val="24"/>
        </w:rPr>
        <w:t xml:space="preserve">not </w:t>
      </w:r>
      <w:r w:rsidR="00BD36F1" w:rsidRPr="00CF30B8">
        <w:rPr>
          <w:szCs w:val="24"/>
        </w:rPr>
        <w:t>extinguished upon transfer</w:t>
      </w:r>
      <w:r w:rsidR="002D1AD9" w:rsidRPr="00CF30B8">
        <w:rPr>
          <w:szCs w:val="24"/>
        </w:rPr>
        <w:t xml:space="preserve"> </w:t>
      </w:r>
      <w:r w:rsidR="002D1AD9" w:rsidRPr="00CF30B8">
        <w:rPr>
          <w:rFonts w:ascii="Calibri" w:hAnsi="Calibri"/>
          <w:szCs w:val="24"/>
        </w:rPr>
        <w:t>–</w:t>
      </w:r>
      <w:r w:rsidR="00BD36F1" w:rsidRPr="00CF30B8">
        <w:rPr>
          <w:szCs w:val="24"/>
        </w:rPr>
        <w:t xml:space="preserve"> </w:t>
      </w:r>
      <w:r w:rsidR="00B726DD" w:rsidRPr="00CF30B8">
        <w:rPr>
          <w:szCs w:val="24"/>
        </w:rPr>
        <w:t xml:space="preserve">municipality </w:t>
      </w:r>
      <w:r w:rsidR="0042116A" w:rsidRPr="00CF30B8">
        <w:rPr>
          <w:szCs w:val="24"/>
        </w:rPr>
        <w:t>must comply wit</w:t>
      </w:r>
      <w:r w:rsidR="005478C0" w:rsidRPr="00CF30B8">
        <w:rPr>
          <w:szCs w:val="24"/>
        </w:rPr>
        <w:t>h jurisdictional requirements in terms of</w:t>
      </w:r>
      <w:r w:rsidR="0042116A" w:rsidRPr="00CF30B8">
        <w:rPr>
          <w:szCs w:val="24"/>
        </w:rPr>
        <w:t xml:space="preserve"> </w:t>
      </w:r>
      <w:r w:rsidR="005478C0" w:rsidRPr="00CF30B8">
        <w:rPr>
          <w:szCs w:val="24"/>
        </w:rPr>
        <w:t xml:space="preserve">own </w:t>
      </w:r>
      <w:r w:rsidR="0042116A" w:rsidRPr="00CF30B8">
        <w:rPr>
          <w:szCs w:val="24"/>
        </w:rPr>
        <w:t>by-laws b</w:t>
      </w:r>
      <w:r w:rsidR="00AA00AD" w:rsidRPr="00CF30B8">
        <w:rPr>
          <w:szCs w:val="24"/>
        </w:rPr>
        <w:t>efore pursuing owner for debt.</w:t>
      </w:r>
    </w:p>
    <w:p w:rsidR="007211CC" w:rsidRPr="00CF30B8" w:rsidRDefault="007211CC" w:rsidP="00307B63">
      <w:pPr>
        <w:pStyle w:val="Unnumberedtext"/>
        <w:spacing w:before="360" w:line="240" w:lineRule="auto"/>
        <w:jc w:val="center"/>
        <w:rPr>
          <w:b/>
          <w:szCs w:val="24"/>
        </w:rPr>
      </w:pPr>
    </w:p>
    <w:p w:rsidR="00CE72CF" w:rsidRPr="00CF30B8" w:rsidRDefault="00CE72CF" w:rsidP="00307B63">
      <w:pPr>
        <w:pStyle w:val="Unnumberedtext"/>
        <w:spacing w:before="360" w:line="240" w:lineRule="auto"/>
        <w:jc w:val="center"/>
        <w:rPr>
          <w:b/>
          <w:szCs w:val="24"/>
        </w:rPr>
      </w:pPr>
      <w:r w:rsidRPr="00CF30B8">
        <w:rPr>
          <w:b/>
          <w:szCs w:val="24"/>
        </w:rPr>
        <w:t>ORDER</w:t>
      </w:r>
    </w:p>
    <w:p w:rsidR="007211CC" w:rsidRPr="00CF30B8" w:rsidRDefault="007211CC" w:rsidP="00307B63">
      <w:pPr>
        <w:pStyle w:val="Unnumberedtext"/>
        <w:spacing w:before="360" w:line="240" w:lineRule="auto"/>
        <w:jc w:val="center"/>
        <w:rPr>
          <w:b/>
          <w:szCs w:val="24"/>
        </w:rPr>
      </w:pPr>
    </w:p>
    <w:p w:rsidR="00DD7D6F" w:rsidRPr="00CF30B8" w:rsidRDefault="008F2185" w:rsidP="00307B63">
      <w:pPr>
        <w:pStyle w:val="Unnumberedtext"/>
        <w:spacing w:line="240" w:lineRule="auto"/>
        <w:rPr>
          <w:szCs w:val="24"/>
        </w:rPr>
      </w:pPr>
      <w:r w:rsidRPr="00CF30B8">
        <w:rPr>
          <w:szCs w:val="24"/>
        </w:rPr>
        <w:t>On appeal from</w:t>
      </w:r>
      <w:r w:rsidR="00FC1869" w:rsidRPr="00CF30B8">
        <w:rPr>
          <w:szCs w:val="24"/>
        </w:rPr>
        <w:t>:</w:t>
      </w:r>
      <w:r w:rsidRPr="00CF30B8">
        <w:rPr>
          <w:szCs w:val="24"/>
        </w:rPr>
        <w:t xml:space="preserve"> Gauteng Division of the High Court, Pretoria (Fourie J sitting as court of first instance)</w:t>
      </w:r>
      <w:r w:rsidR="005C660E" w:rsidRPr="00CF30B8">
        <w:rPr>
          <w:szCs w:val="24"/>
        </w:rPr>
        <w:t xml:space="preserve">: judgment </w:t>
      </w:r>
      <w:r w:rsidR="0063161B" w:rsidRPr="00CF30B8">
        <w:rPr>
          <w:szCs w:val="24"/>
        </w:rPr>
        <w:t xml:space="preserve">reported </w:t>
      </w:r>
      <w:r w:rsidR="0063161B" w:rsidRPr="00CF30B8">
        <w:rPr>
          <w:i/>
          <w:szCs w:val="24"/>
        </w:rPr>
        <w:t>sub nom</w:t>
      </w:r>
      <w:r w:rsidR="0063161B" w:rsidRPr="00CF30B8">
        <w:rPr>
          <w:szCs w:val="24"/>
        </w:rPr>
        <w:t xml:space="preserve"> </w:t>
      </w:r>
      <w:r w:rsidR="0063161B" w:rsidRPr="00CF30B8">
        <w:rPr>
          <w:i/>
          <w:szCs w:val="24"/>
        </w:rPr>
        <w:t>Mitchell v City of Tshwane Metropolitan Municipal Council</w:t>
      </w:r>
      <w:r w:rsidR="0063161B" w:rsidRPr="00CF30B8">
        <w:rPr>
          <w:szCs w:val="24"/>
        </w:rPr>
        <w:t xml:space="preserve"> 2015 (1) SA 82 (GP)</w:t>
      </w:r>
      <w:r w:rsidR="00FC1869" w:rsidRPr="00CF30B8">
        <w:rPr>
          <w:szCs w:val="24"/>
        </w:rPr>
        <w:t>.</w:t>
      </w:r>
    </w:p>
    <w:p w:rsidR="008F2185" w:rsidRPr="00CF30B8" w:rsidRDefault="000566F8" w:rsidP="00307B63">
      <w:pPr>
        <w:pStyle w:val="Unnumberedtext"/>
        <w:spacing w:before="0" w:line="240" w:lineRule="auto"/>
        <w:rPr>
          <w:szCs w:val="24"/>
        </w:rPr>
      </w:pPr>
      <w:r w:rsidRPr="00CF30B8">
        <w:rPr>
          <w:szCs w:val="24"/>
        </w:rPr>
        <w:t xml:space="preserve">1 </w:t>
      </w:r>
      <w:r w:rsidR="008F2185" w:rsidRPr="00CF30B8">
        <w:rPr>
          <w:szCs w:val="24"/>
        </w:rPr>
        <w:t>The appeal is upheld.</w:t>
      </w:r>
    </w:p>
    <w:p w:rsidR="00A1414F" w:rsidRPr="00CF30B8" w:rsidRDefault="00356FF3" w:rsidP="00307B63">
      <w:pPr>
        <w:pStyle w:val="Unnumberedtext"/>
        <w:spacing w:before="0" w:line="240" w:lineRule="auto"/>
        <w:rPr>
          <w:szCs w:val="24"/>
        </w:rPr>
      </w:pPr>
      <w:r w:rsidRPr="00CF30B8">
        <w:rPr>
          <w:szCs w:val="24"/>
        </w:rPr>
        <w:t xml:space="preserve">2 </w:t>
      </w:r>
      <w:r w:rsidR="00A1414F" w:rsidRPr="00CF30B8">
        <w:rPr>
          <w:szCs w:val="24"/>
        </w:rPr>
        <w:t>Paragraph 1 of the order of the court a quo is set aside and replaced with the following:</w:t>
      </w:r>
    </w:p>
    <w:p w:rsidR="00A1414F" w:rsidRPr="00CF30B8" w:rsidRDefault="00A1414F" w:rsidP="00307B63">
      <w:pPr>
        <w:pStyle w:val="Unnumberedtext"/>
        <w:spacing w:before="0" w:line="240" w:lineRule="auto"/>
        <w:rPr>
          <w:szCs w:val="24"/>
        </w:rPr>
      </w:pPr>
      <w:r w:rsidRPr="00CF30B8">
        <w:rPr>
          <w:szCs w:val="24"/>
        </w:rPr>
        <w:t>‘</w:t>
      </w:r>
      <w:r w:rsidR="001F007F" w:rsidRPr="00CF30B8">
        <w:rPr>
          <w:szCs w:val="24"/>
        </w:rPr>
        <w:t xml:space="preserve">1 </w:t>
      </w:r>
      <w:r w:rsidRPr="00CF30B8">
        <w:rPr>
          <w:szCs w:val="24"/>
        </w:rPr>
        <w:t>The application is dismissed.’</w:t>
      </w:r>
    </w:p>
    <w:p w:rsidR="00AA5DFE" w:rsidRPr="00CF30B8" w:rsidRDefault="00A1414F" w:rsidP="00307B63">
      <w:pPr>
        <w:pStyle w:val="Unnumberedtext"/>
        <w:spacing w:before="0" w:line="240" w:lineRule="auto"/>
        <w:rPr>
          <w:szCs w:val="24"/>
        </w:rPr>
      </w:pPr>
      <w:r w:rsidRPr="00CF30B8">
        <w:rPr>
          <w:szCs w:val="24"/>
        </w:rPr>
        <w:t>3 No order is made as to the costs of the appeal.</w:t>
      </w:r>
    </w:p>
    <w:p w:rsidR="00CE72CF" w:rsidRPr="00CF30B8" w:rsidRDefault="00CE72CF" w:rsidP="00CE72CF">
      <w:pPr>
        <w:pStyle w:val="Frontpageheading"/>
        <w:rPr>
          <w:szCs w:val="24"/>
        </w:rPr>
      </w:pPr>
    </w:p>
    <w:p w:rsidR="00CE72CF" w:rsidRPr="00CF30B8" w:rsidRDefault="00CE72CF" w:rsidP="00CE72CF">
      <w:pPr>
        <w:pStyle w:val="Frontpageheading"/>
        <w:rPr>
          <w:szCs w:val="24"/>
        </w:rPr>
      </w:pPr>
      <w:r w:rsidRPr="00CF30B8">
        <w:rPr>
          <w:szCs w:val="24"/>
        </w:rPr>
        <w:t>JUDGMENT</w:t>
      </w:r>
    </w:p>
    <w:p w:rsidR="00CE72CF" w:rsidRPr="00CF30B8" w:rsidRDefault="00CE72CF" w:rsidP="00A1414F">
      <w:pPr>
        <w:pStyle w:val="Unnumberedtext"/>
        <w:spacing w:before="0"/>
        <w:rPr>
          <w:szCs w:val="24"/>
        </w:rPr>
      </w:pPr>
    </w:p>
    <w:p w:rsidR="00CC71A2" w:rsidRPr="00CF30B8" w:rsidRDefault="005C17AD" w:rsidP="000731E2">
      <w:pPr>
        <w:pStyle w:val="Sectionnumbering"/>
        <w:numPr>
          <w:ilvl w:val="0"/>
          <w:numId w:val="0"/>
        </w:numPr>
        <w:rPr>
          <w:szCs w:val="24"/>
        </w:rPr>
      </w:pPr>
      <w:proofErr w:type="spellStart"/>
      <w:r w:rsidRPr="00CF30B8">
        <w:rPr>
          <w:b/>
          <w:szCs w:val="24"/>
        </w:rPr>
        <w:lastRenderedPageBreak/>
        <w:t>Baartman</w:t>
      </w:r>
      <w:proofErr w:type="spellEnd"/>
      <w:r w:rsidRPr="00CF30B8">
        <w:rPr>
          <w:b/>
          <w:szCs w:val="24"/>
        </w:rPr>
        <w:t xml:space="preserve"> AJA </w:t>
      </w:r>
      <w:r w:rsidR="000566F8" w:rsidRPr="00CF30B8">
        <w:rPr>
          <w:szCs w:val="24"/>
        </w:rPr>
        <w:t>(</w:t>
      </w:r>
      <w:proofErr w:type="spellStart"/>
      <w:r w:rsidR="00C27BE0" w:rsidRPr="00CF30B8">
        <w:rPr>
          <w:szCs w:val="24"/>
        </w:rPr>
        <w:t>Mpati</w:t>
      </w:r>
      <w:proofErr w:type="spellEnd"/>
      <w:r w:rsidR="00C27BE0" w:rsidRPr="00CF30B8">
        <w:rPr>
          <w:szCs w:val="24"/>
        </w:rPr>
        <w:t xml:space="preserve"> P, </w:t>
      </w:r>
      <w:proofErr w:type="spellStart"/>
      <w:r w:rsidR="00C27BE0" w:rsidRPr="00CF30B8">
        <w:rPr>
          <w:szCs w:val="24"/>
        </w:rPr>
        <w:t>Bosielo</w:t>
      </w:r>
      <w:proofErr w:type="spellEnd"/>
      <w:r w:rsidR="00C27BE0" w:rsidRPr="00CF30B8">
        <w:rPr>
          <w:szCs w:val="24"/>
        </w:rPr>
        <w:t xml:space="preserve"> and </w:t>
      </w:r>
      <w:proofErr w:type="spellStart"/>
      <w:r w:rsidR="00C27BE0" w:rsidRPr="00CF30B8">
        <w:rPr>
          <w:szCs w:val="24"/>
        </w:rPr>
        <w:t>Saldulker</w:t>
      </w:r>
      <w:proofErr w:type="spellEnd"/>
      <w:r w:rsidR="00C27BE0" w:rsidRPr="00CF30B8">
        <w:rPr>
          <w:szCs w:val="24"/>
        </w:rPr>
        <w:t xml:space="preserve"> JJA</w:t>
      </w:r>
      <w:r w:rsidR="000566F8" w:rsidRPr="00CF30B8">
        <w:rPr>
          <w:szCs w:val="24"/>
        </w:rPr>
        <w:t xml:space="preserve"> </w:t>
      </w:r>
      <w:r w:rsidR="00CC71A2" w:rsidRPr="00CF30B8">
        <w:rPr>
          <w:szCs w:val="24"/>
        </w:rPr>
        <w:t xml:space="preserve">concurring) </w:t>
      </w:r>
    </w:p>
    <w:p w:rsidR="00E45615" w:rsidRPr="00CF30B8" w:rsidRDefault="001421DD" w:rsidP="001421DD">
      <w:pPr>
        <w:pStyle w:val="Sectionnumbering"/>
        <w:numPr>
          <w:ilvl w:val="0"/>
          <w:numId w:val="0"/>
        </w:numPr>
        <w:spacing w:before="0" w:after="0"/>
        <w:rPr>
          <w:szCs w:val="24"/>
        </w:rPr>
      </w:pPr>
      <w:r w:rsidRPr="00CF30B8">
        <w:rPr>
          <w:szCs w:val="24"/>
        </w:rPr>
        <w:t>[1]</w:t>
      </w:r>
      <w:r w:rsidRPr="00CF30B8">
        <w:rPr>
          <w:szCs w:val="24"/>
        </w:rPr>
        <w:tab/>
      </w:r>
      <w:r w:rsidR="00151F7B" w:rsidRPr="00CF30B8">
        <w:rPr>
          <w:szCs w:val="24"/>
        </w:rPr>
        <w:t>This</w:t>
      </w:r>
      <w:r w:rsidR="00E540A9" w:rsidRPr="00CF30B8">
        <w:rPr>
          <w:szCs w:val="24"/>
        </w:rPr>
        <w:t xml:space="preserve"> appeal </w:t>
      </w:r>
      <w:r w:rsidR="00151F7B" w:rsidRPr="00CF30B8">
        <w:rPr>
          <w:szCs w:val="24"/>
        </w:rPr>
        <w:t>concerns the i</w:t>
      </w:r>
      <w:r w:rsidR="00151F7B" w:rsidRPr="00CF30B8">
        <w:rPr>
          <w:szCs w:val="24"/>
          <w:highlight w:val="yellow"/>
        </w:rPr>
        <w:t>nterpretation of s</w:t>
      </w:r>
      <w:r w:rsidR="00FC1869" w:rsidRPr="00CF30B8">
        <w:rPr>
          <w:szCs w:val="24"/>
          <w:highlight w:val="yellow"/>
        </w:rPr>
        <w:t> </w:t>
      </w:r>
      <w:r w:rsidR="00151F7B" w:rsidRPr="00CF30B8">
        <w:rPr>
          <w:szCs w:val="24"/>
          <w:highlight w:val="yellow"/>
        </w:rPr>
        <w:t>118(3)</w:t>
      </w:r>
      <w:r w:rsidR="00151F7B" w:rsidRPr="00CF30B8">
        <w:rPr>
          <w:szCs w:val="24"/>
        </w:rPr>
        <w:t xml:space="preserve"> of the Local Government: </w:t>
      </w:r>
      <w:r w:rsidR="00151F7B" w:rsidRPr="00CF30B8">
        <w:rPr>
          <w:szCs w:val="24"/>
          <w:highlight w:val="yellow"/>
        </w:rPr>
        <w:t>Municipal Systems</w:t>
      </w:r>
      <w:r w:rsidR="00151F7B" w:rsidRPr="00CF30B8">
        <w:rPr>
          <w:szCs w:val="24"/>
        </w:rPr>
        <w:t xml:space="preserve"> Act</w:t>
      </w:r>
      <w:r w:rsidR="009E2895" w:rsidRPr="00CF30B8">
        <w:rPr>
          <w:szCs w:val="24"/>
        </w:rPr>
        <w:t>,</w:t>
      </w:r>
      <w:r w:rsidR="00151F7B" w:rsidRPr="00CF30B8">
        <w:rPr>
          <w:szCs w:val="24"/>
        </w:rPr>
        <w:t xml:space="preserve"> 32 of 2000 (the Act)</w:t>
      </w:r>
      <w:r w:rsidR="009C4B75" w:rsidRPr="00CF30B8">
        <w:rPr>
          <w:szCs w:val="24"/>
        </w:rPr>
        <w:t>.</w:t>
      </w:r>
      <w:r w:rsidR="00C34FC7" w:rsidRPr="00CF30B8">
        <w:rPr>
          <w:szCs w:val="24"/>
        </w:rPr>
        <w:t xml:space="preserve"> </w:t>
      </w:r>
      <w:r w:rsidR="00B542DF" w:rsidRPr="00CF30B8">
        <w:rPr>
          <w:szCs w:val="24"/>
        </w:rPr>
        <w:t>T</w:t>
      </w:r>
      <w:r w:rsidR="00C34FC7" w:rsidRPr="00CF30B8">
        <w:rPr>
          <w:szCs w:val="24"/>
        </w:rPr>
        <w:t xml:space="preserve">he question is </w:t>
      </w:r>
      <w:r w:rsidR="00C34FC7" w:rsidRPr="00CF30B8">
        <w:rPr>
          <w:szCs w:val="24"/>
          <w:highlight w:val="yellow"/>
        </w:rPr>
        <w:t xml:space="preserve">whether </w:t>
      </w:r>
      <w:r w:rsidR="00407FFB" w:rsidRPr="00CF30B8">
        <w:rPr>
          <w:szCs w:val="24"/>
          <w:highlight w:val="yellow"/>
        </w:rPr>
        <w:t xml:space="preserve">the security </w:t>
      </w:r>
      <w:r w:rsidR="00567682" w:rsidRPr="00CF30B8">
        <w:rPr>
          <w:szCs w:val="24"/>
          <w:highlight w:val="yellow"/>
        </w:rPr>
        <w:t>p</w:t>
      </w:r>
      <w:r w:rsidR="00CD33F1" w:rsidRPr="00CF30B8">
        <w:rPr>
          <w:szCs w:val="24"/>
          <w:highlight w:val="yellow"/>
        </w:rPr>
        <w:t>rovided for in</w:t>
      </w:r>
      <w:r w:rsidR="00567682" w:rsidRPr="00CF30B8">
        <w:rPr>
          <w:szCs w:val="24"/>
          <w:highlight w:val="yellow"/>
        </w:rPr>
        <w:t xml:space="preserve"> s</w:t>
      </w:r>
      <w:r w:rsidR="00192D09" w:rsidRPr="00CF30B8">
        <w:rPr>
          <w:szCs w:val="24"/>
          <w:highlight w:val="yellow"/>
        </w:rPr>
        <w:t> </w:t>
      </w:r>
      <w:r w:rsidR="00567682" w:rsidRPr="00CF30B8">
        <w:rPr>
          <w:szCs w:val="24"/>
          <w:highlight w:val="yellow"/>
        </w:rPr>
        <w:t>118</w:t>
      </w:r>
      <w:r w:rsidR="00CD33F1" w:rsidRPr="00CF30B8">
        <w:rPr>
          <w:szCs w:val="24"/>
          <w:highlight w:val="yellow"/>
        </w:rPr>
        <w:t>(3) of</w:t>
      </w:r>
      <w:r w:rsidR="009C1EEE" w:rsidRPr="00CF30B8">
        <w:rPr>
          <w:szCs w:val="24"/>
          <w:highlight w:val="yellow"/>
        </w:rPr>
        <w:t xml:space="preserve"> the Act in favour of a municipality, for moneys owed to it</w:t>
      </w:r>
      <w:r w:rsidR="00567682" w:rsidRPr="00CF30B8">
        <w:rPr>
          <w:szCs w:val="24"/>
          <w:highlight w:val="yellow"/>
        </w:rPr>
        <w:t xml:space="preserve"> </w:t>
      </w:r>
      <w:r w:rsidR="009C1EEE" w:rsidRPr="00CF30B8">
        <w:rPr>
          <w:szCs w:val="24"/>
          <w:highlight w:val="yellow"/>
        </w:rPr>
        <w:t xml:space="preserve">for services delivered </w:t>
      </w:r>
      <w:r w:rsidR="00CD33F1" w:rsidRPr="00CF30B8">
        <w:rPr>
          <w:szCs w:val="24"/>
          <w:highlight w:val="yellow"/>
        </w:rPr>
        <w:t>in respect of fixed property</w:t>
      </w:r>
      <w:r w:rsidR="009C1EEE" w:rsidRPr="00CF30B8">
        <w:rPr>
          <w:szCs w:val="24"/>
          <w:highlight w:val="yellow"/>
        </w:rPr>
        <w:t>,</w:t>
      </w:r>
      <w:r w:rsidR="00CD33F1" w:rsidRPr="00CF30B8">
        <w:rPr>
          <w:szCs w:val="24"/>
          <w:highlight w:val="yellow"/>
        </w:rPr>
        <w:t xml:space="preserve"> is extinguished </w:t>
      </w:r>
      <w:r w:rsidR="005825FC" w:rsidRPr="00CF30B8">
        <w:rPr>
          <w:szCs w:val="24"/>
          <w:highlight w:val="yellow"/>
        </w:rPr>
        <w:t xml:space="preserve">when the </w:t>
      </w:r>
      <w:r w:rsidR="009C1EEE" w:rsidRPr="00CF30B8">
        <w:rPr>
          <w:szCs w:val="24"/>
          <w:highlight w:val="yellow"/>
        </w:rPr>
        <w:t>property is sold at</w:t>
      </w:r>
      <w:r w:rsidR="00CD33F1" w:rsidRPr="00CF30B8">
        <w:rPr>
          <w:szCs w:val="24"/>
          <w:highlight w:val="yellow"/>
        </w:rPr>
        <w:t xml:space="preserve"> a sale in execution and subsequent</w:t>
      </w:r>
      <w:r w:rsidR="009C1EEE" w:rsidRPr="00CF30B8">
        <w:rPr>
          <w:szCs w:val="24"/>
          <w:highlight w:val="yellow"/>
        </w:rPr>
        <w:t>ly</w:t>
      </w:r>
      <w:r w:rsidR="00CD33F1" w:rsidRPr="00CF30B8">
        <w:rPr>
          <w:szCs w:val="24"/>
          <w:highlight w:val="yellow"/>
        </w:rPr>
        <w:t xml:space="preserve"> transfer</w:t>
      </w:r>
      <w:r w:rsidR="009C1EEE" w:rsidRPr="00CF30B8">
        <w:rPr>
          <w:szCs w:val="24"/>
          <w:highlight w:val="yellow"/>
        </w:rPr>
        <w:t>red</w:t>
      </w:r>
      <w:r w:rsidR="00CD33F1" w:rsidRPr="00CF30B8">
        <w:rPr>
          <w:szCs w:val="24"/>
          <w:highlight w:val="yellow"/>
        </w:rPr>
        <w:t xml:space="preserve"> to </w:t>
      </w:r>
      <w:r w:rsidR="009C1EEE" w:rsidRPr="00CF30B8">
        <w:rPr>
          <w:szCs w:val="24"/>
          <w:highlight w:val="yellow"/>
        </w:rPr>
        <w:t>the purchaser</w:t>
      </w:r>
      <w:r w:rsidR="00CD33F1" w:rsidRPr="00CF30B8">
        <w:rPr>
          <w:szCs w:val="24"/>
          <w:highlight w:val="yellow"/>
        </w:rPr>
        <w:t>.</w:t>
      </w:r>
    </w:p>
    <w:p w:rsidR="00082A59" w:rsidRPr="00CF30B8" w:rsidRDefault="00082A59" w:rsidP="00082A59">
      <w:pPr>
        <w:pStyle w:val="Sectionnumbering"/>
        <w:numPr>
          <w:ilvl w:val="0"/>
          <w:numId w:val="0"/>
        </w:numPr>
        <w:spacing w:before="0" w:after="0"/>
        <w:rPr>
          <w:szCs w:val="24"/>
        </w:rPr>
      </w:pPr>
    </w:p>
    <w:p w:rsidR="00F8120C" w:rsidRPr="00CF30B8" w:rsidRDefault="001421DD" w:rsidP="001421DD">
      <w:pPr>
        <w:pStyle w:val="Sectionnumbering"/>
        <w:numPr>
          <w:ilvl w:val="0"/>
          <w:numId w:val="0"/>
        </w:numPr>
        <w:spacing w:before="0" w:after="0"/>
        <w:rPr>
          <w:szCs w:val="24"/>
        </w:rPr>
      </w:pPr>
      <w:r w:rsidRPr="00CF30B8">
        <w:rPr>
          <w:szCs w:val="24"/>
        </w:rPr>
        <w:t>[2]</w:t>
      </w:r>
      <w:r w:rsidRPr="00CF30B8">
        <w:rPr>
          <w:szCs w:val="24"/>
        </w:rPr>
        <w:tab/>
      </w:r>
      <w:r w:rsidR="00CC4140" w:rsidRPr="00CF30B8">
        <w:rPr>
          <w:szCs w:val="24"/>
        </w:rPr>
        <w:t>On 22 February 2013</w:t>
      </w:r>
      <w:r w:rsidR="00F8120C" w:rsidRPr="00CF30B8">
        <w:rPr>
          <w:szCs w:val="24"/>
        </w:rPr>
        <w:t xml:space="preserve"> the </w:t>
      </w:r>
      <w:r w:rsidR="00F8120C" w:rsidRPr="00CF30B8">
        <w:rPr>
          <w:szCs w:val="24"/>
          <w:highlight w:val="yellow"/>
        </w:rPr>
        <w:t xml:space="preserve">respondent purchased </w:t>
      </w:r>
      <w:r w:rsidR="00CC4140" w:rsidRPr="00CF30B8">
        <w:rPr>
          <w:szCs w:val="24"/>
          <w:highlight w:val="yellow"/>
        </w:rPr>
        <w:t>a</w:t>
      </w:r>
      <w:r w:rsidR="00365248" w:rsidRPr="00CF30B8">
        <w:rPr>
          <w:szCs w:val="24"/>
          <w:highlight w:val="yellow"/>
        </w:rPr>
        <w:t xml:space="preserve"> fixed property</w:t>
      </w:r>
      <w:r w:rsidR="00365248" w:rsidRPr="00CF30B8">
        <w:rPr>
          <w:szCs w:val="24"/>
        </w:rPr>
        <w:t xml:space="preserve"> known as </w:t>
      </w:r>
      <w:r w:rsidR="00F8120C" w:rsidRPr="00CF30B8">
        <w:rPr>
          <w:szCs w:val="24"/>
        </w:rPr>
        <w:t xml:space="preserve">Erf 296, </w:t>
      </w:r>
      <w:proofErr w:type="spellStart"/>
      <w:r w:rsidR="00F8120C" w:rsidRPr="00CF30B8">
        <w:rPr>
          <w:szCs w:val="24"/>
        </w:rPr>
        <w:t>Won</w:t>
      </w:r>
      <w:r w:rsidR="00365248" w:rsidRPr="00CF30B8">
        <w:rPr>
          <w:szCs w:val="24"/>
        </w:rPr>
        <w:t>derboom</w:t>
      </w:r>
      <w:proofErr w:type="spellEnd"/>
      <w:r w:rsidR="00365248" w:rsidRPr="00CF30B8">
        <w:rPr>
          <w:szCs w:val="24"/>
        </w:rPr>
        <w:t xml:space="preserve"> Township, Gauteng (the property)</w:t>
      </w:r>
      <w:r w:rsidR="004C73FF" w:rsidRPr="00CF30B8">
        <w:rPr>
          <w:szCs w:val="24"/>
        </w:rPr>
        <w:t>, at a sale in execution</w:t>
      </w:r>
      <w:r w:rsidR="00365248" w:rsidRPr="00CF30B8">
        <w:rPr>
          <w:szCs w:val="24"/>
        </w:rPr>
        <w:t xml:space="preserve">. The </w:t>
      </w:r>
      <w:r w:rsidR="00F8120C" w:rsidRPr="00CF30B8">
        <w:rPr>
          <w:szCs w:val="24"/>
        </w:rPr>
        <w:t xml:space="preserve">property </w:t>
      </w:r>
      <w:r w:rsidR="00365248" w:rsidRPr="00CF30B8">
        <w:rPr>
          <w:szCs w:val="24"/>
        </w:rPr>
        <w:t xml:space="preserve">is </w:t>
      </w:r>
      <w:r w:rsidR="00F8120C" w:rsidRPr="00CF30B8">
        <w:rPr>
          <w:szCs w:val="24"/>
        </w:rPr>
        <w:t>situated within the appellant’s municipal boundaries. Clause 6.4 of the ‘CONDITION</w:t>
      </w:r>
      <w:r w:rsidR="00116847" w:rsidRPr="00CF30B8">
        <w:rPr>
          <w:szCs w:val="24"/>
        </w:rPr>
        <w:t>S</w:t>
      </w:r>
      <w:r w:rsidR="00F8120C" w:rsidRPr="00CF30B8">
        <w:rPr>
          <w:szCs w:val="24"/>
        </w:rPr>
        <w:t xml:space="preserve"> OF SALE IN EXECUTION OF IMMOVABLE PROPERTY’ provide</w:t>
      </w:r>
      <w:r w:rsidR="004C73FF" w:rsidRPr="00CF30B8">
        <w:rPr>
          <w:szCs w:val="24"/>
        </w:rPr>
        <w:t>d</w:t>
      </w:r>
      <w:r w:rsidR="00F8120C" w:rsidRPr="00CF30B8">
        <w:rPr>
          <w:szCs w:val="24"/>
        </w:rPr>
        <w:t>:</w:t>
      </w:r>
    </w:p>
    <w:p w:rsidR="007211CC" w:rsidRPr="00CF30B8" w:rsidRDefault="007211CC" w:rsidP="001421DD">
      <w:pPr>
        <w:pStyle w:val="Sectionnumbering"/>
        <w:numPr>
          <w:ilvl w:val="0"/>
          <w:numId w:val="0"/>
        </w:numPr>
        <w:spacing w:before="0" w:after="0"/>
        <w:rPr>
          <w:szCs w:val="24"/>
        </w:rPr>
      </w:pPr>
    </w:p>
    <w:p w:rsidR="00082A59" w:rsidRPr="00CF30B8" w:rsidRDefault="00F8120C" w:rsidP="007211CC">
      <w:pPr>
        <w:pStyle w:val="Quote"/>
        <w:spacing w:before="0" w:after="0" w:line="240" w:lineRule="auto"/>
        <w:ind w:left="720"/>
        <w:rPr>
          <w:sz w:val="24"/>
          <w:szCs w:val="24"/>
        </w:rPr>
      </w:pPr>
      <w:r w:rsidRPr="00CF30B8">
        <w:rPr>
          <w:sz w:val="24"/>
          <w:szCs w:val="24"/>
        </w:rPr>
        <w:t xml:space="preserve">‘The purchaser shall be </w:t>
      </w:r>
      <w:r w:rsidRPr="00CF30B8">
        <w:rPr>
          <w:sz w:val="24"/>
          <w:szCs w:val="24"/>
          <w:highlight w:val="yellow"/>
        </w:rPr>
        <w:t>responsible for payment of all costs and charges necessary to effect transfer</w:t>
      </w:r>
      <w:r w:rsidRPr="00CF30B8">
        <w:rPr>
          <w:sz w:val="24"/>
          <w:szCs w:val="24"/>
        </w:rPr>
        <w:t xml:space="preserve"> including conveyancing costs, rates, taxes and other like charges necessary </w:t>
      </w:r>
      <w:r w:rsidRPr="00CF30B8">
        <w:rPr>
          <w:sz w:val="24"/>
          <w:szCs w:val="24"/>
          <w:highlight w:val="yellow"/>
        </w:rPr>
        <w:t>to procure a rate clearance certificate</w:t>
      </w:r>
      <w:r w:rsidRPr="00CF30B8">
        <w:rPr>
          <w:sz w:val="24"/>
          <w:szCs w:val="24"/>
        </w:rPr>
        <w:t>, transfer duty or VAT attracted by the sale and any Dee</w:t>
      </w:r>
      <w:r w:rsidR="006D46CE" w:rsidRPr="00CF30B8">
        <w:rPr>
          <w:sz w:val="24"/>
          <w:szCs w:val="24"/>
        </w:rPr>
        <w:t>ds registration office levies.’</w:t>
      </w:r>
    </w:p>
    <w:p w:rsidR="00082A59" w:rsidRPr="00CF30B8" w:rsidRDefault="00082A59" w:rsidP="00082A59">
      <w:pPr>
        <w:pStyle w:val="Quote"/>
        <w:spacing w:before="0" w:after="0"/>
        <w:rPr>
          <w:sz w:val="24"/>
          <w:szCs w:val="24"/>
        </w:rPr>
      </w:pPr>
    </w:p>
    <w:p w:rsidR="00E45615" w:rsidRPr="00CF30B8" w:rsidRDefault="001421DD" w:rsidP="001421DD">
      <w:pPr>
        <w:pStyle w:val="Sectionnumbering"/>
        <w:numPr>
          <w:ilvl w:val="0"/>
          <w:numId w:val="0"/>
        </w:numPr>
        <w:spacing w:before="0" w:after="0"/>
        <w:rPr>
          <w:szCs w:val="24"/>
        </w:rPr>
      </w:pPr>
      <w:r w:rsidRPr="00CF30B8">
        <w:rPr>
          <w:szCs w:val="24"/>
        </w:rPr>
        <w:t>[3]</w:t>
      </w:r>
      <w:r w:rsidRPr="00CF30B8">
        <w:rPr>
          <w:szCs w:val="24"/>
        </w:rPr>
        <w:tab/>
      </w:r>
      <w:r w:rsidR="00FC1869" w:rsidRPr="00CF30B8">
        <w:rPr>
          <w:szCs w:val="24"/>
        </w:rPr>
        <w:t>In terms of s </w:t>
      </w:r>
      <w:r w:rsidR="002955D1" w:rsidRPr="00CF30B8">
        <w:rPr>
          <w:szCs w:val="24"/>
        </w:rPr>
        <w:t>118(1) of the Act</w:t>
      </w:r>
      <w:r w:rsidR="009E2895" w:rsidRPr="00CF30B8">
        <w:rPr>
          <w:szCs w:val="24"/>
        </w:rPr>
        <w:t>,</w:t>
      </w:r>
      <w:r w:rsidR="002955D1" w:rsidRPr="00CF30B8">
        <w:rPr>
          <w:szCs w:val="24"/>
        </w:rPr>
        <w:t xml:space="preserve"> a </w:t>
      </w:r>
      <w:r w:rsidR="002955D1" w:rsidRPr="00CF30B8">
        <w:rPr>
          <w:szCs w:val="24"/>
          <w:highlight w:val="yellow"/>
        </w:rPr>
        <w:t>registrar of deeds may not register</w:t>
      </w:r>
      <w:r w:rsidR="002955D1" w:rsidRPr="00CF30B8">
        <w:rPr>
          <w:szCs w:val="24"/>
        </w:rPr>
        <w:t xml:space="preserve"> the transfer of property, </w:t>
      </w:r>
      <w:r w:rsidR="002955D1" w:rsidRPr="00CF30B8">
        <w:rPr>
          <w:szCs w:val="24"/>
          <w:highlight w:val="yellow"/>
        </w:rPr>
        <w:t>except on production of a certificate</w:t>
      </w:r>
      <w:r w:rsidR="002235AA" w:rsidRPr="00CF30B8">
        <w:rPr>
          <w:szCs w:val="24"/>
        </w:rPr>
        <w:t xml:space="preserve"> –</w:t>
      </w:r>
      <w:r w:rsidR="002955D1" w:rsidRPr="00CF30B8">
        <w:rPr>
          <w:szCs w:val="24"/>
        </w:rPr>
        <w:t xml:space="preserve"> </w:t>
      </w:r>
      <w:r w:rsidR="00064DF9" w:rsidRPr="00CF30B8">
        <w:rPr>
          <w:szCs w:val="24"/>
        </w:rPr>
        <w:t>commonly referred to</w:t>
      </w:r>
      <w:r w:rsidR="002235AA" w:rsidRPr="00CF30B8">
        <w:rPr>
          <w:szCs w:val="24"/>
        </w:rPr>
        <w:t xml:space="preserve"> as a clearance certificate </w:t>
      </w:r>
      <w:r w:rsidR="00AA5DFE" w:rsidRPr="00CF30B8">
        <w:rPr>
          <w:rFonts w:ascii="Calibri" w:hAnsi="Calibri"/>
          <w:szCs w:val="24"/>
        </w:rPr>
        <w:t>–</w:t>
      </w:r>
      <w:r w:rsidR="002235AA" w:rsidRPr="00CF30B8">
        <w:rPr>
          <w:szCs w:val="24"/>
        </w:rPr>
        <w:t xml:space="preserve"> </w:t>
      </w:r>
      <w:r w:rsidR="00BF0AB8" w:rsidRPr="00CF30B8">
        <w:rPr>
          <w:szCs w:val="24"/>
        </w:rPr>
        <w:t xml:space="preserve">confirming that </w:t>
      </w:r>
      <w:r w:rsidR="002955D1" w:rsidRPr="00CF30B8">
        <w:rPr>
          <w:szCs w:val="24"/>
        </w:rPr>
        <w:t xml:space="preserve">all amounts due </w:t>
      </w:r>
      <w:r w:rsidR="00BF0AB8" w:rsidRPr="00CF30B8">
        <w:rPr>
          <w:szCs w:val="24"/>
        </w:rPr>
        <w:t xml:space="preserve">to the municipality </w:t>
      </w:r>
      <w:r w:rsidR="002955D1" w:rsidRPr="00CF30B8">
        <w:rPr>
          <w:szCs w:val="24"/>
        </w:rPr>
        <w:t>in respect of that property</w:t>
      </w:r>
      <w:r w:rsidR="00BF0AB8" w:rsidRPr="00CF30B8">
        <w:rPr>
          <w:szCs w:val="24"/>
        </w:rPr>
        <w:t xml:space="preserve"> for</w:t>
      </w:r>
      <w:r w:rsidR="002955D1" w:rsidRPr="00CF30B8">
        <w:rPr>
          <w:szCs w:val="24"/>
        </w:rPr>
        <w:t xml:space="preserve"> service fees, levies, rates and taxes for the </w:t>
      </w:r>
      <w:r w:rsidR="00E702AE" w:rsidRPr="00CF30B8">
        <w:rPr>
          <w:szCs w:val="24"/>
        </w:rPr>
        <w:t>two</w:t>
      </w:r>
      <w:r w:rsidR="009E2895" w:rsidRPr="00CF30B8">
        <w:rPr>
          <w:szCs w:val="24"/>
        </w:rPr>
        <w:t> </w:t>
      </w:r>
      <w:r w:rsidR="002955D1" w:rsidRPr="00CF30B8">
        <w:rPr>
          <w:szCs w:val="24"/>
        </w:rPr>
        <w:t>years preceding the date of application for the certificate</w:t>
      </w:r>
      <w:r w:rsidR="00BE1BDA" w:rsidRPr="00CF30B8">
        <w:rPr>
          <w:szCs w:val="24"/>
        </w:rPr>
        <w:t>,</w:t>
      </w:r>
      <w:r w:rsidR="00BF0AB8" w:rsidRPr="00CF30B8">
        <w:rPr>
          <w:szCs w:val="24"/>
        </w:rPr>
        <w:t xml:space="preserve"> ha</w:t>
      </w:r>
      <w:r w:rsidR="00AA5DFE" w:rsidRPr="00CF30B8">
        <w:rPr>
          <w:szCs w:val="24"/>
        </w:rPr>
        <w:t>ve</w:t>
      </w:r>
      <w:r w:rsidR="00BF0AB8" w:rsidRPr="00CF30B8">
        <w:rPr>
          <w:szCs w:val="24"/>
        </w:rPr>
        <w:t xml:space="preserve"> been paid in full</w:t>
      </w:r>
      <w:r w:rsidR="002955D1" w:rsidRPr="00CF30B8">
        <w:rPr>
          <w:szCs w:val="24"/>
        </w:rPr>
        <w:t xml:space="preserve">. </w:t>
      </w:r>
      <w:r w:rsidR="00BF0AB8" w:rsidRPr="00CF30B8">
        <w:rPr>
          <w:szCs w:val="24"/>
          <w:highlight w:val="yellow"/>
        </w:rPr>
        <w:t xml:space="preserve">When </w:t>
      </w:r>
      <w:r w:rsidR="006C4FE4" w:rsidRPr="00CF30B8">
        <w:rPr>
          <w:szCs w:val="24"/>
          <w:highlight w:val="yellow"/>
        </w:rPr>
        <w:t xml:space="preserve">the </w:t>
      </w:r>
      <w:r w:rsidR="00BF0AB8" w:rsidRPr="00CF30B8">
        <w:rPr>
          <w:szCs w:val="24"/>
          <w:highlight w:val="yellow"/>
        </w:rPr>
        <w:t xml:space="preserve">respondent </w:t>
      </w:r>
      <w:r w:rsidR="006C4FE4" w:rsidRPr="00CF30B8">
        <w:rPr>
          <w:szCs w:val="24"/>
          <w:highlight w:val="yellow"/>
        </w:rPr>
        <w:t>applied</w:t>
      </w:r>
      <w:r w:rsidR="00174789" w:rsidRPr="00CF30B8">
        <w:rPr>
          <w:szCs w:val="24"/>
          <w:highlight w:val="yellow"/>
        </w:rPr>
        <w:t xml:space="preserve"> for a</w:t>
      </w:r>
      <w:r w:rsidR="00BF0AB8" w:rsidRPr="00CF30B8">
        <w:rPr>
          <w:szCs w:val="24"/>
          <w:highlight w:val="yellow"/>
        </w:rPr>
        <w:t xml:space="preserve"> </w:t>
      </w:r>
      <w:r w:rsidR="004C73FF" w:rsidRPr="00CF30B8">
        <w:rPr>
          <w:szCs w:val="24"/>
          <w:highlight w:val="yellow"/>
        </w:rPr>
        <w:t xml:space="preserve">clearance </w:t>
      </w:r>
      <w:r w:rsidR="00BF0AB8" w:rsidRPr="00CF30B8">
        <w:rPr>
          <w:szCs w:val="24"/>
          <w:highlight w:val="yellow"/>
        </w:rPr>
        <w:t>certificate</w:t>
      </w:r>
      <w:r w:rsidR="00BF0AB8" w:rsidRPr="00CF30B8">
        <w:rPr>
          <w:szCs w:val="24"/>
        </w:rPr>
        <w:t xml:space="preserve">, the </w:t>
      </w:r>
      <w:r w:rsidR="006E6769" w:rsidRPr="00CF30B8">
        <w:rPr>
          <w:szCs w:val="24"/>
        </w:rPr>
        <w:t xml:space="preserve">appellant </w:t>
      </w:r>
      <w:r w:rsidR="004C73FF" w:rsidRPr="00CF30B8">
        <w:rPr>
          <w:szCs w:val="24"/>
        </w:rPr>
        <w:t xml:space="preserve">issued a </w:t>
      </w:r>
      <w:r w:rsidR="00AE1652" w:rsidRPr="00CF30B8">
        <w:rPr>
          <w:szCs w:val="24"/>
        </w:rPr>
        <w:t>‘</w:t>
      </w:r>
      <w:r w:rsidR="004C73FF" w:rsidRPr="00CF30B8">
        <w:rPr>
          <w:szCs w:val="24"/>
        </w:rPr>
        <w:t>written statement</w:t>
      </w:r>
      <w:r w:rsidR="00AE1652" w:rsidRPr="00CF30B8">
        <w:rPr>
          <w:szCs w:val="24"/>
        </w:rPr>
        <w:t>’</w:t>
      </w:r>
      <w:r w:rsidR="002955D1" w:rsidRPr="00CF30B8">
        <w:rPr>
          <w:szCs w:val="24"/>
        </w:rPr>
        <w:t xml:space="preserve"> </w:t>
      </w:r>
      <w:r w:rsidR="00AE1652" w:rsidRPr="00CF30B8">
        <w:rPr>
          <w:szCs w:val="24"/>
        </w:rPr>
        <w:t xml:space="preserve">reflecting </w:t>
      </w:r>
      <w:r w:rsidR="007E13CD" w:rsidRPr="00CF30B8">
        <w:rPr>
          <w:szCs w:val="24"/>
        </w:rPr>
        <w:t>an</w:t>
      </w:r>
      <w:r w:rsidR="00BE1BDA" w:rsidRPr="00CF30B8">
        <w:rPr>
          <w:szCs w:val="24"/>
        </w:rPr>
        <w:t xml:space="preserve"> </w:t>
      </w:r>
      <w:r w:rsidR="0058621E" w:rsidRPr="00CF30B8">
        <w:rPr>
          <w:szCs w:val="24"/>
          <w:highlight w:val="yellow"/>
        </w:rPr>
        <w:t xml:space="preserve">outstanding </w:t>
      </w:r>
      <w:r w:rsidR="00BE1BDA" w:rsidRPr="00CF30B8">
        <w:rPr>
          <w:szCs w:val="24"/>
          <w:highlight w:val="yellow"/>
        </w:rPr>
        <w:t>amount of</w:t>
      </w:r>
      <w:r w:rsidR="00AA5DFE" w:rsidRPr="00CF30B8">
        <w:rPr>
          <w:szCs w:val="24"/>
          <w:highlight w:val="yellow"/>
        </w:rPr>
        <w:t xml:space="preserve"> </w:t>
      </w:r>
      <w:r w:rsidR="002955D1" w:rsidRPr="00CF30B8">
        <w:rPr>
          <w:szCs w:val="24"/>
          <w:highlight w:val="yellow"/>
        </w:rPr>
        <w:t>R232 828.25</w:t>
      </w:r>
      <w:r w:rsidR="002955D1" w:rsidRPr="00CF30B8">
        <w:rPr>
          <w:szCs w:val="24"/>
        </w:rPr>
        <w:t xml:space="preserve"> in respect of municipal service fees, levies and rates. That amount </w:t>
      </w:r>
      <w:r w:rsidR="002955D1" w:rsidRPr="00CF30B8">
        <w:rPr>
          <w:szCs w:val="24"/>
          <w:highlight w:val="yellow"/>
        </w:rPr>
        <w:t xml:space="preserve">included debts older than </w:t>
      </w:r>
      <w:r w:rsidR="00E702AE" w:rsidRPr="00CF30B8">
        <w:rPr>
          <w:szCs w:val="24"/>
          <w:highlight w:val="yellow"/>
        </w:rPr>
        <w:t>two</w:t>
      </w:r>
      <w:r w:rsidR="002955D1" w:rsidRPr="00CF30B8">
        <w:rPr>
          <w:szCs w:val="24"/>
          <w:highlight w:val="yellow"/>
        </w:rPr>
        <w:t xml:space="preserve"> years</w:t>
      </w:r>
      <w:r w:rsidR="002955D1" w:rsidRPr="00CF30B8">
        <w:rPr>
          <w:szCs w:val="24"/>
        </w:rPr>
        <w:t xml:space="preserve"> </w:t>
      </w:r>
      <w:r w:rsidR="00BF0AB8" w:rsidRPr="00CF30B8">
        <w:rPr>
          <w:szCs w:val="24"/>
        </w:rPr>
        <w:t xml:space="preserve">preceding the date of the application </w:t>
      </w:r>
      <w:r w:rsidR="00174789" w:rsidRPr="00CF30B8">
        <w:rPr>
          <w:szCs w:val="24"/>
        </w:rPr>
        <w:t>for a</w:t>
      </w:r>
      <w:r w:rsidR="00AE1652" w:rsidRPr="00CF30B8">
        <w:rPr>
          <w:szCs w:val="24"/>
        </w:rPr>
        <w:t xml:space="preserve"> clearance certificate </w:t>
      </w:r>
      <w:r w:rsidR="002955D1" w:rsidRPr="00CF30B8">
        <w:rPr>
          <w:szCs w:val="24"/>
        </w:rPr>
        <w:t>(historic</w:t>
      </w:r>
      <w:r w:rsidR="00AE1652" w:rsidRPr="00CF30B8">
        <w:rPr>
          <w:szCs w:val="24"/>
        </w:rPr>
        <w:t>al</w:t>
      </w:r>
      <w:r w:rsidR="00192D09" w:rsidRPr="00CF30B8">
        <w:rPr>
          <w:szCs w:val="24"/>
        </w:rPr>
        <w:t xml:space="preserve"> debt).</w:t>
      </w:r>
    </w:p>
    <w:p w:rsidR="00082A59" w:rsidRPr="00CF30B8" w:rsidRDefault="00082A59" w:rsidP="00082A59">
      <w:pPr>
        <w:pStyle w:val="Sectionnumbering"/>
        <w:numPr>
          <w:ilvl w:val="0"/>
          <w:numId w:val="0"/>
        </w:numPr>
        <w:spacing w:before="0" w:after="0"/>
        <w:rPr>
          <w:szCs w:val="24"/>
        </w:rPr>
      </w:pPr>
    </w:p>
    <w:p w:rsidR="00A221D8" w:rsidRPr="00CF30B8" w:rsidRDefault="001421DD" w:rsidP="001421DD">
      <w:pPr>
        <w:pStyle w:val="Sectionnumbering"/>
        <w:numPr>
          <w:ilvl w:val="0"/>
          <w:numId w:val="0"/>
        </w:numPr>
        <w:spacing w:before="0" w:after="0"/>
        <w:rPr>
          <w:szCs w:val="24"/>
        </w:rPr>
      </w:pPr>
      <w:r w:rsidRPr="00CF30B8">
        <w:rPr>
          <w:szCs w:val="24"/>
        </w:rPr>
        <w:t>[4]</w:t>
      </w:r>
      <w:r w:rsidRPr="00CF30B8">
        <w:rPr>
          <w:szCs w:val="24"/>
        </w:rPr>
        <w:tab/>
      </w:r>
      <w:r w:rsidR="002955D1" w:rsidRPr="00CF30B8">
        <w:rPr>
          <w:szCs w:val="24"/>
        </w:rPr>
        <w:t xml:space="preserve">The </w:t>
      </w:r>
      <w:r w:rsidR="002955D1" w:rsidRPr="00CF30B8">
        <w:rPr>
          <w:szCs w:val="24"/>
          <w:highlight w:val="yellow"/>
        </w:rPr>
        <w:t xml:space="preserve">respondent disputed the </w:t>
      </w:r>
      <w:r w:rsidR="00AE1652" w:rsidRPr="00CF30B8">
        <w:rPr>
          <w:szCs w:val="24"/>
          <w:highlight w:val="yellow"/>
        </w:rPr>
        <w:t>correctness</w:t>
      </w:r>
      <w:r w:rsidR="006E6769" w:rsidRPr="00CF30B8">
        <w:rPr>
          <w:szCs w:val="24"/>
        </w:rPr>
        <w:t xml:space="preserve"> of the </w:t>
      </w:r>
      <w:r w:rsidR="00092D22" w:rsidRPr="00CF30B8">
        <w:rPr>
          <w:szCs w:val="24"/>
        </w:rPr>
        <w:t xml:space="preserve">amount reflected in </w:t>
      </w:r>
      <w:r w:rsidR="00AE1652" w:rsidRPr="00CF30B8">
        <w:rPr>
          <w:szCs w:val="24"/>
        </w:rPr>
        <w:t xml:space="preserve">the </w:t>
      </w:r>
      <w:r w:rsidR="00174789" w:rsidRPr="00CF30B8">
        <w:rPr>
          <w:szCs w:val="24"/>
        </w:rPr>
        <w:t>‘</w:t>
      </w:r>
      <w:r w:rsidR="00AE1652" w:rsidRPr="00CF30B8">
        <w:rPr>
          <w:szCs w:val="24"/>
        </w:rPr>
        <w:t>written statement</w:t>
      </w:r>
      <w:r w:rsidR="00174789" w:rsidRPr="00CF30B8">
        <w:rPr>
          <w:szCs w:val="24"/>
        </w:rPr>
        <w:t>’</w:t>
      </w:r>
      <w:r w:rsidR="00092D22" w:rsidRPr="00CF30B8">
        <w:rPr>
          <w:szCs w:val="24"/>
        </w:rPr>
        <w:t xml:space="preserve"> as being payable</w:t>
      </w:r>
      <w:r w:rsidR="006E6769" w:rsidRPr="00CF30B8">
        <w:rPr>
          <w:szCs w:val="24"/>
        </w:rPr>
        <w:t xml:space="preserve"> </w:t>
      </w:r>
      <w:r w:rsidR="00BF0AB8" w:rsidRPr="00CF30B8">
        <w:rPr>
          <w:szCs w:val="24"/>
        </w:rPr>
        <w:t xml:space="preserve">for purposes of obtaining </w:t>
      </w:r>
      <w:r w:rsidR="00174789" w:rsidRPr="00CF30B8">
        <w:rPr>
          <w:szCs w:val="24"/>
        </w:rPr>
        <w:t>a</w:t>
      </w:r>
      <w:r w:rsidR="00BF0AB8" w:rsidRPr="00CF30B8">
        <w:rPr>
          <w:szCs w:val="24"/>
        </w:rPr>
        <w:t xml:space="preserve"> </w:t>
      </w:r>
      <w:r w:rsidR="00174789" w:rsidRPr="00CF30B8">
        <w:rPr>
          <w:szCs w:val="24"/>
        </w:rPr>
        <w:t xml:space="preserve">clearance </w:t>
      </w:r>
      <w:r w:rsidR="00711437" w:rsidRPr="00CF30B8">
        <w:rPr>
          <w:szCs w:val="24"/>
        </w:rPr>
        <w:t>cer</w:t>
      </w:r>
      <w:r w:rsidR="00AE1652" w:rsidRPr="00CF30B8">
        <w:rPr>
          <w:szCs w:val="24"/>
        </w:rPr>
        <w:t xml:space="preserve">tificate in terms of s 118(1). The </w:t>
      </w:r>
      <w:r w:rsidR="00092D22" w:rsidRPr="00CF30B8">
        <w:rPr>
          <w:szCs w:val="24"/>
          <w:highlight w:val="yellow"/>
        </w:rPr>
        <w:t>dispute was, however, settled</w:t>
      </w:r>
      <w:r w:rsidR="00092D22" w:rsidRPr="00CF30B8">
        <w:rPr>
          <w:szCs w:val="24"/>
        </w:rPr>
        <w:t xml:space="preserve"> and the </w:t>
      </w:r>
      <w:r w:rsidR="00AE1652" w:rsidRPr="00CF30B8">
        <w:rPr>
          <w:szCs w:val="24"/>
          <w:highlight w:val="yellow"/>
        </w:rPr>
        <w:t xml:space="preserve">appellant </w:t>
      </w:r>
      <w:r w:rsidR="002955D1" w:rsidRPr="00CF30B8">
        <w:rPr>
          <w:szCs w:val="24"/>
          <w:highlight w:val="yellow"/>
        </w:rPr>
        <w:t xml:space="preserve">issued a certificate </w:t>
      </w:r>
      <w:r w:rsidR="00BF0AB8" w:rsidRPr="00CF30B8">
        <w:rPr>
          <w:szCs w:val="24"/>
          <w:highlight w:val="yellow"/>
        </w:rPr>
        <w:t>reflecting</w:t>
      </w:r>
      <w:r w:rsidR="009E2895" w:rsidRPr="00CF30B8">
        <w:rPr>
          <w:szCs w:val="24"/>
          <w:highlight w:val="yellow"/>
        </w:rPr>
        <w:t xml:space="preserve"> </w:t>
      </w:r>
      <w:r w:rsidR="002955D1" w:rsidRPr="00CF30B8">
        <w:rPr>
          <w:szCs w:val="24"/>
          <w:highlight w:val="yellow"/>
        </w:rPr>
        <w:t>the outstanding</w:t>
      </w:r>
      <w:r w:rsidR="00BF0AB8" w:rsidRPr="00CF30B8">
        <w:rPr>
          <w:szCs w:val="24"/>
          <w:highlight w:val="yellow"/>
        </w:rPr>
        <w:t xml:space="preserve"> amount due to </w:t>
      </w:r>
      <w:r w:rsidR="00092D22" w:rsidRPr="00CF30B8">
        <w:rPr>
          <w:szCs w:val="24"/>
          <w:highlight w:val="yellow"/>
        </w:rPr>
        <w:t>i</w:t>
      </w:r>
      <w:r w:rsidR="00BF0AB8" w:rsidRPr="00CF30B8">
        <w:rPr>
          <w:szCs w:val="24"/>
          <w:highlight w:val="yellow"/>
        </w:rPr>
        <w:t>t</w:t>
      </w:r>
      <w:r w:rsidR="002955D1" w:rsidRPr="00CF30B8">
        <w:rPr>
          <w:szCs w:val="24"/>
          <w:highlight w:val="yellow"/>
        </w:rPr>
        <w:t xml:space="preserve"> as R126 608.50</w:t>
      </w:r>
      <w:r w:rsidR="009E2895" w:rsidRPr="00CF30B8">
        <w:rPr>
          <w:szCs w:val="24"/>
        </w:rPr>
        <w:t>,</w:t>
      </w:r>
      <w:r w:rsidR="002955D1" w:rsidRPr="00CF30B8">
        <w:rPr>
          <w:szCs w:val="24"/>
        </w:rPr>
        <w:t xml:space="preserve"> </w:t>
      </w:r>
      <w:r w:rsidR="00A44DE4" w:rsidRPr="00CF30B8">
        <w:rPr>
          <w:szCs w:val="24"/>
        </w:rPr>
        <w:t xml:space="preserve">which </w:t>
      </w:r>
      <w:r w:rsidR="002955D1" w:rsidRPr="00CF30B8">
        <w:rPr>
          <w:szCs w:val="24"/>
        </w:rPr>
        <w:t>represent</w:t>
      </w:r>
      <w:r w:rsidR="00A44DE4" w:rsidRPr="00CF30B8">
        <w:rPr>
          <w:szCs w:val="24"/>
        </w:rPr>
        <w:t>ed</w:t>
      </w:r>
      <w:r w:rsidR="002955D1" w:rsidRPr="00CF30B8">
        <w:rPr>
          <w:szCs w:val="24"/>
        </w:rPr>
        <w:t xml:space="preserve"> only the debt </w:t>
      </w:r>
      <w:r w:rsidR="006E6769" w:rsidRPr="00CF30B8">
        <w:rPr>
          <w:szCs w:val="24"/>
          <w:highlight w:val="yellow"/>
        </w:rPr>
        <w:t xml:space="preserve">due </w:t>
      </w:r>
      <w:r w:rsidR="002955D1" w:rsidRPr="00CF30B8">
        <w:rPr>
          <w:szCs w:val="24"/>
          <w:highlight w:val="yellow"/>
        </w:rPr>
        <w:t xml:space="preserve">for the </w:t>
      </w:r>
      <w:r w:rsidR="00E702AE" w:rsidRPr="00CF30B8">
        <w:rPr>
          <w:szCs w:val="24"/>
          <w:highlight w:val="yellow"/>
        </w:rPr>
        <w:t>two</w:t>
      </w:r>
      <w:r w:rsidR="00A44DE4" w:rsidRPr="00CF30B8">
        <w:rPr>
          <w:szCs w:val="24"/>
          <w:highlight w:val="yellow"/>
        </w:rPr>
        <w:t xml:space="preserve"> </w:t>
      </w:r>
      <w:r w:rsidR="002955D1" w:rsidRPr="00CF30B8">
        <w:rPr>
          <w:szCs w:val="24"/>
          <w:highlight w:val="yellow"/>
        </w:rPr>
        <w:t>years</w:t>
      </w:r>
      <w:r w:rsidR="002955D1" w:rsidRPr="00CF30B8">
        <w:rPr>
          <w:szCs w:val="24"/>
        </w:rPr>
        <w:t xml:space="preserve"> preceding the date of </w:t>
      </w:r>
      <w:r w:rsidR="00A44DE4" w:rsidRPr="00CF30B8">
        <w:rPr>
          <w:szCs w:val="24"/>
        </w:rPr>
        <w:t xml:space="preserve">the </w:t>
      </w:r>
      <w:r w:rsidR="002955D1" w:rsidRPr="00CF30B8">
        <w:rPr>
          <w:szCs w:val="24"/>
        </w:rPr>
        <w:t xml:space="preserve">respondent’s application for issue of the certificate. The </w:t>
      </w:r>
      <w:r w:rsidR="002955D1" w:rsidRPr="00CF30B8">
        <w:rPr>
          <w:szCs w:val="24"/>
          <w:highlight w:val="yellow"/>
        </w:rPr>
        <w:t>respondent paid that amount</w:t>
      </w:r>
      <w:r w:rsidR="001E50EC" w:rsidRPr="00CF30B8">
        <w:rPr>
          <w:szCs w:val="24"/>
          <w:highlight w:val="yellow"/>
        </w:rPr>
        <w:t>,</w:t>
      </w:r>
      <w:r w:rsidR="002955D1" w:rsidRPr="00CF30B8">
        <w:rPr>
          <w:szCs w:val="24"/>
        </w:rPr>
        <w:t xml:space="preserve"> </w:t>
      </w:r>
      <w:r w:rsidR="002955D1" w:rsidRPr="00CF30B8">
        <w:rPr>
          <w:szCs w:val="24"/>
        </w:rPr>
        <w:lastRenderedPageBreak/>
        <w:t xml:space="preserve">leaving </w:t>
      </w:r>
      <w:r w:rsidR="0034421D" w:rsidRPr="00CF30B8">
        <w:rPr>
          <w:szCs w:val="24"/>
        </w:rPr>
        <w:t xml:space="preserve">the </w:t>
      </w:r>
      <w:r w:rsidR="002955D1" w:rsidRPr="00CF30B8">
        <w:rPr>
          <w:szCs w:val="24"/>
          <w:highlight w:val="yellow"/>
        </w:rPr>
        <w:t>historic</w:t>
      </w:r>
      <w:r w:rsidR="00334A51" w:rsidRPr="00CF30B8">
        <w:rPr>
          <w:szCs w:val="24"/>
          <w:highlight w:val="yellow"/>
        </w:rPr>
        <w:t>al</w:t>
      </w:r>
      <w:r w:rsidR="002955D1" w:rsidRPr="00CF30B8">
        <w:rPr>
          <w:szCs w:val="24"/>
          <w:highlight w:val="yellow"/>
        </w:rPr>
        <w:t xml:space="preserve"> debt</w:t>
      </w:r>
      <w:r w:rsidR="00A44DE4" w:rsidRPr="00CF30B8">
        <w:rPr>
          <w:szCs w:val="24"/>
          <w:highlight w:val="yellow"/>
        </w:rPr>
        <w:t xml:space="preserve"> of</w:t>
      </w:r>
      <w:r w:rsidR="002955D1" w:rsidRPr="00CF30B8">
        <w:rPr>
          <w:szCs w:val="24"/>
          <w:highlight w:val="yellow"/>
        </w:rPr>
        <w:t xml:space="preserve"> R106 219.75 </w:t>
      </w:r>
      <w:r w:rsidR="001E50EC" w:rsidRPr="00CF30B8">
        <w:rPr>
          <w:szCs w:val="24"/>
          <w:highlight w:val="yellow"/>
        </w:rPr>
        <w:t xml:space="preserve">still </w:t>
      </w:r>
      <w:r w:rsidR="002955D1" w:rsidRPr="00CF30B8">
        <w:rPr>
          <w:szCs w:val="24"/>
          <w:highlight w:val="yellow"/>
        </w:rPr>
        <w:t>outstanding</w:t>
      </w:r>
      <w:r w:rsidR="00A44DE4" w:rsidRPr="00CF30B8">
        <w:rPr>
          <w:szCs w:val="24"/>
        </w:rPr>
        <w:t>,</w:t>
      </w:r>
      <w:r w:rsidR="002955D1" w:rsidRPr="00CF30B8">
        <w:rPr>
          <w:szCs w:val="24"/>
        </w:rPr>
        <w:t xml:space="preserve"> due and payable if </w:t>
      </w:r>
      <w:r w:rsidR="00B47EB4" w:rsidRPr="00CF30B8">
        <w:rPr>
          <w:szCs w:val="24"/>
        </w:rPr>
        <w:t xml:space="preserve">it had </w:t>
      </w:r>
      <w:r w:rsidR="002955D1" w:rsidRPr="00CF30B8">
        <w:rPr>
          <w:szCs w:val="24"/>
        </w:rPr>
        <w:t>not</w:t>
      </w:r>
      <w:r w:rsidR="00B47EB4" w:rsidRPr="00CF30B8">
        <w:rPr>
          <w:szCs w:val="24"/>
        </w:rPr>
        <w:t xml:space="preserve"> become</w:t>
      </w:r>
      <w:r w:rsidR="002955D1" w:rsidRPr="00CF30B8">
        <w:rPr>
          <w:szCs w:val="24"/>
        </w:rPr>
        <w:t xml:space="preserve"> </w:t>
      </w:r>
      <w:r w:rsidR="001662AB" w:rsidRPr="00CF30B8">
        <w:rPr>
          <w:szCs w:val="24"/>
        </w:rPr>
        <w:t>prescribed.</w:t>
      </w:r>
    </w:p>
    <w:p w:rsidR="00082A59" w:rsidRPr="00CF30B8" w:rsidRDefault="00082A59" w:rsidP="00082A59">
      <w:pPr>
        <w:pStyle w:val="Sectionnumbering"/>
        <w:numPr>
          <w:ilvl w:val="0"/>
          <w:numId w:val="0"/>
        </w:numPr>
        <w:spacing w:before="0" w:after="0"/>
        <w:rPr>
          <w:szCs w:val="24"/>
        </w:rPr>
      </w:pPr>
    </w:p>
    <w:p w:rsidR="00E36DD6" w:rsidRPr="00CF30B8" w:rsidRDefault="001421DD" w:rsidP="001421DD">
      <w:pPr>
        <w:pStyle w:val="Sectionnumbering"/>
        <w:numPr>
          <w:ilvl w:val="0"/>
          <w:numId w:val="0"/>
        </w:numPr>
        <w:spacing w:before="0" w:after="0"/>
        <w:rPr>
          <w:szCs w:val="24"/>
        </w:rPr>
      </w:pPr>
      <w:r w:rsidRPr="00CF30B8">
        <w:rPr>
          <w:szCs w:val="24"/>
        </w:rPr>
        <w:t>[5]</w:t>
      </w:r>
      <w:r w:rsidRPr="00CF30B8">
        <w:rPr>
          <w:szCs w:val="24"/>
        </w:rPr>
        <w:tab/>
      </w:r>
      <w:r w:rsidR="002955D1" w:rsidRPr="00CF30B8">
        <w:rPr>
          <w:szCs w:val="24"/>
        </w:rPr>
        <w:t xml:space="preserve">The </w:t>
      </w:r>
      <w:r w:rsidR="002955D1" w:rsidRPr="00CF30B8">
        <w:rPr>
          <w:szCs w:val="24"/>
          <w:highlight w:val="yellow"/>
        </w:rPr>
        <w:t xml:space="preserve">respondent </w:t>
      </w:r>
      <w:r w:rsidR="001E50EC" w:rsidRPr="00CF30B8">
        <w:rPr>
          <w:szCs w:val="24"/>
          <w:highlight w:val="yellow"/>
        </w:rPr>
        <w:t xml:space="preserve">subsequently </w:t>
      </w:r>
      <w:r w:rsidR="002955D1" w:rsidRPr="00CF30B8">
        <w:rPr>
          <w:szCs w:val="24"/>
          <w:highlight w:val="yellow"/>
        </w:rPr>
        <w:t xml:space="preserve">sold </w:t>
      </w:r>
      <w:r w:rsidR="0034421D" w:rsidRPr="00CF30B8">
        <w:rPr>
          <w:szCs w:val="24"/>
          <w:highlight w:val="yellow"/>
        </w:rPr>
        <w:t>the property</w:t>
      </w:r>
      <w:r w:rsidR="0034421D" w:rsidRPr="00CF30B8">
        <w:rPr>
          <w:szCs w:val="24"/>
        </w:rPr>
        <w:t xml:space="preserve"> </w:t>
      </w:r>
      <w:r w:rsidR="002955D1" w:rsidRPr="00CF30B8">
        <w:rPr>
          <w:szCs w:val="24"/>
          <w:highlight w:val="yellow"/>
        </w:rPr>
        <w:t xml:space="preserve">to Ms </w:t>
      </w:r>
      <w:r w:rsidR="00B47EB4" w:rsidRPr="00CF30B8">
        <w:rPr>
          <w:szCs w:val="24"/>
          <w:highlight w:val="yellow"/>
        </w:rPr>
        <w:t xml:space="preserve">Lynette </w:t>
      </w:r>
      <w:r w:rsidR="001F1982" w:rsidRPr="00CF30B8">
        <w:rPr>
          <w:szCs w:val="24"/>
          <w:highlight w:val="yellow"/>
        </w:rPr>
        <w:t>Prinsloo</w:t>
      </w:r>
      <w:r w:rsidR="001F1982" w:rsidRPr="00CF30B8">
        <w:rPr>
          <w:szCs w:val="24"/>
        </w:rPr>
        <w:t xml:space="preserve"> </w:t>
      </w:r>
      <w:r w:rsidR="002955D1" w:rsidRPr="00CF30B8">
        <w:rPr>
          <w:szCs w:val="24"/>
        </w:rPr>
        <w:t>(Prinsloo) who</w:t>
      </w:r>
      <w:r w:rsidR="00A44DE4" w:rsidRPr="00CF30B8">
        <w:rPr>
          <w:szCs w:val="24"/>
        </w:rPr>
        <w:t>,</w:t>
      </w:r>
      <w:r w:rsidR="002955D1" w:rsidRPr="00CF30B8">
        <w:rPr>
          <w:szCs w:val="24"/>
        </w:rPr>
        <w:t xml:space="preserve"> before taking transfer</w:t>
      </w:r>
      <w:r w:rsidR="00A44DE4" w:rsidRPr="00CF30B8">
        <w:rPr>
          <w:szCs w:val="24"/>
        </w:rPr>
        <w:t>,</w:t>
      </w:r>
      <w:r w:rsidR="002955D1" w:rsidRPr="00CF30B8">
        <w:rPr>
          <w:szCs w:val="24"/>
        </w:rPr>
        <w:t xml:space="preserve"> applied to the appellant</w:t>
      </w:r>
      <w:r w:rsidR="001E50EC" w:rsidRPr="00CF30B8">
        <w:rPr>
          <w:szCs w:val="24"/>
        </w:rPr>
        <w:t xml:space="preserve"> for</w:t>
      </w:r>
      <w:r w:rsidR="002955D1" w:rsidRPr="00CF30B8">
        <w:rPr>
          <w:szCs w:val="24"/>
        </w:rPr>
        <w:t xml:space="preserve"> </w:t>
      </w:r>
      <w:r w:rsidR="00927C8B" w:rsidRPr="00CF30B8">
        <w:rPr>
          <w:szCs w:val="24"/>
        </w:rPr>
        <w:t xml:space="preserve">the </w:t>
      </w:r>
      <w:r w:rsidR="002955D1" w:rsidRPr="00CF30B8">
        <w:rPr>
          <w:szCs w:val="24"/>
        </w:rPr>
        <w:t xml:space="preserve">supply </w:t>
      </w:r>
      <w:r w:rsidR="001E50EC" w:rsidRPr="00CF30B8">
        <w:rPr>
          <w:szCs w:val="24"/>
        </w:rPr>
        <w:t xml:space="preserve">of </w:t>
      </w:r>
      <w:r w:rsidR="002955D1" w:rsidRPr="00CF30B8">
        <w:rPr>
          <w:szCs w:val="24"/>
        </w:rPr>
        <w:t xml:space="preserve">municipal services </w:t>
      </w:r>
      <w:r w:rsidR="00B47EB4" w:rsidRPr="00CF30B8">
        <w:rPr>
          <w:szCs w:val="24"/>
        </w:rPr>
        <w:t>such as electricity,</w:t>
      </w:r>
      <w:r w:rsidR="002955D1" w:rsidRPr="00CF30B8">
        <w:rPr>
          <w:szCs w:val="24"/>
        </w:rPr>
        <w:t xml:space="preserve"> waste removal and water to the property. </w:t>
      </w:r>
      <w:r w:rsidR="00E86A78" w:rsidRPr="00CF30B8">
        <w:rPr>
          <w:szCs w:val="24"/>
        </w:rPr>
        <w:t xml:space="preserve">A municipal official </w:t>
      </w:r>
      <w:r w:rsidR="00226DA2" w:rsidRPr="00CF30B8">
        <w:rPr>
          <w:szCs w:val="24"/>
        </w:rPr>
        <w:t>refused to open an account in her name</w:t>
      </w:r>
      <w:r w:rsidR="00E36DD6" w:rsidRPr="00CF30B8">
        <w:rPr>
          <w:szCs w:val="24"/>
        </w:rPr>
        <w:t xml:space="preserve"> and</w:t>
      </w:r>
      <w:r w:rsidR="00226DA2" w:rsidRPr="00CF30B8">
        <w:rPr>
          <w:szCs w:val="24"/>
        </w:rPr>
        <w:t xml:space="preserve"> </w:t>
      </w:r>
      <w:r w:rsidR="00E86A78" w:rsidRPr="00CF30B8">
        <w:rPr>
          <w:szCs w:val="24"/>
        </w:rPr>
        <w:t>inform</w:t>
      </w:r>
      <w:r w:rsidR="00E36DD6" w:rsidRPr="00CF30B8">
        <w:rPr>
          <w:szCs w:val="24"/>
        </w:rPr>
        <w:t>ed</w:t>
      </w:r>
      <w:r w:rsidR="00E86A78" w:rsidRPr="00CF30B8">
        <w:rPr>
          <w:szCs w:val="24"/>
        </w:rPr>
        <w:t xml:space="preserve"> her that she </w:t>
      </w:r>
      <w:r w:rsidR="00226DA2" w:rsidRPr="00CF30B8">
        <w:rPr>
          <w:szCs w:val="24"/>
          <w:highlight w:val="yellow"/>
        </w:rPr>
        <w:t>w</w:t>
      </w:r>
      <w:r w:rsidR="00920E50" w:rsidRPr="00CF30B8">
        <w:rPr>
          <w:szCs w:val="24"/>
          <w:highlight w:val="yellow"/>
        </w:rPr>
        <w:t>ould be held</w:t>
      </w:r>
      <w:r w:rsidR="00E86A78" w:rsidRPr="00CF30B8">
        <w:rPr>
          <w:szCs w:val="24"/>
          <w:highlight w:val="yellow"/>
        </w:rPr>
        <w:t xml:space="preserve"> liable for the historical debt</w:t>
      </w:r>
      <w:r w:rsidR="00E86A78" w:rsidRPr="00CF30B8">
        <w:rPr>
          <w:szCs w:val="24"/>
        </w:rPr>
        <w:t xml:space="preserve">. </w:t>
      </w:r>
      <w:r w:rsidR="002955D1" w:rsidRPr="00CF30B8">
        <w:rPr>
          <w:szCs w:val="24"/>
        </w:rPr>
        <w:t xml:space="preserve">Prinsloo </w:t>
      </w:r>
      <w:r w:rsidR="00407208" w:rsidRPr="00CF30B8">
        <w:rPr>
          <w:szCs w:val="24"/>
        </w:rPr>
        <w:t xml:space="preserve">accordingly gave instructions to the attorney who </w:t>
      </w:r>
      <w:r w:rsidR="00407208" w:rsidRPr="00CF30B8">
        <w:rPr>
          <w:szCs w:val="24"/>
          <w:highlight w:val="yellow"/>
        </w:rPr>
        <w:t xml:space="preserve">was to deal with the transfer not </w:t>
      </w:r>
      <w:r w:rsidR="007E13CD" w:rsidRPr="00CF30B8">
        <w:rPr>
          <w:szCs w:val="24"/>
          <w:highlight w:val="yellow"/>
        </w:rPr>
        <w:t>to proceed</w:t>
      </w:r>
      <w:r w:rsidR="007E13CD" w:rsidRPr="00CF30B8">
        <w:rPr>
          <w:szCs w:val="24"/>
        </w:rPr>
        <w:t xml:space="preserve"> with it</w:t>
      </w:r>
      <w:r w:rsidR="002955D1" w:rsidRPr="00CF30B8">
        <w:rPr>
          <w:szCs w:val="24"/>
        </w:rPr>
        <w:t xml:space="preserve"> </w:t>
      </w:r>
      <w:r w:rsidR="00407208" w:rsidRPr="00CF30B8">
        <w:rPr>
          <w:szCs w:val="24"/>
        </w:rPr>
        <w:t>until the issue of the historical debt had been resolved</w:t>
      </w:r>
      <w:r w:rsidR="00565167" w:rsidRPr="00CF30B8">
        <w:rPr>
          <w:szCs w:val="24"/>
        </w:rPr>
        <w:t>.</w:t>
      </w:r>
    </w:p>
    <w:p w:rsidR="00082A59" w:rsidRPr="00CF30B8" w:rsidRDefault="00082A59" w:rsidP="00082A59">
      <w:pPr>
        <w:pStyle w:val="Sectionnumbering"/>
        <w:numPr>
          <w:ilvl w:val="0"/>
          <w:numId w:val="0"/>
        </w:numPr>
        <w:spacing w:before="0" w:after="0"/>
        <w:rPr>
          <w:szCs w:val="24"/>
        </w:rPr>
      </w:pPr>
    </w:p>
    <w:p w:rsidR="00C1200D" w:rsidRPr="00CF30B8" w:rsidRDefault="00B75983" w:rsidP="00B75983">
      <w:pPr>
        <w:pStyle w:val="Sectionnumbering"/>
        <w:numPr>
          <w:ilvl w:val="0"/>
          <w:numId w:val="0"/>
        </w:numPr>
        <w:spacing w:before="0" w:after="0"/>
        <w:rPr>
          <w:szCs w:val="24"/>
        </w:rPr>
      </w:pPr>
      <w:r w:rsidRPr="00CF30B8">
        <w:rPr>
          <w:szCs w:val="24"/>
        </w:rPr>
        <w:t>[6]</w:t>
      </w:r>
      <w:r w:rsidRPr="00CF30B8">
        <w:rPr>
          <w:szCs w:val="24"/>
        </w:rPr>
        <w:tab/>
      </w:r>
      <w:r w:rsidR="00226E81" w:rsidRPr="00CF30B8">
        <w:rPr>
          <w:szCs w:val="24"/>
        </w:rPr>
        <w:t xml:space="preserve">The </w:t>
      </w:r>
      <w:r w:rsidR="00A76517" w:rsidRPr="00CF30B8">
        <w:rPr>
          <w:szCs w:val="24"/>
          <w:highlight w:val="yellow"/>
        </w:rPr>
        <w:t>respondent</w:t>
      </w:r>
      <w:r w:rsidR="00407208" w:rsidRPr="00CF30B8">
        <w:rPr>
          <w:szCs w:val="24"/>
          <w:highlight w:val="yellow"/>
        </w:rPr>
        <w:t xml:space="preserve"> then</w:t>
      </w:r>
      <w:r w:rsidR="00A76517" w:rsidRPr="00CF30B8">
        <w:rPr>
          <w:szCs w:val="24"/>
          <w:highlight w:val="yellow"/>
        </w:rPr>
        <w:t xml:space="preserve"> approached</w:t>
      </w:r>
      <w:r w:rsidR="00226E81" w:rsidRPr="00CF30B8">
        <w:rPr>
          <w:szCs w:val="24"/>
          <w:highlight w:val="yellow"/>
        </w:rPr>
        <w:t xml:space="preserve"> the </w:t>
      </w:r>
      <w:r w:rsidR="00E702AE" w:rsidRPr="00CF30B8">
        <w:rPr>
          <w:szCs w:val="24"/>
          <w:highlight w:val="yellow"/>
        </w:rPr>
        <w:t>Gauteng Division of the High Court</w:t>
      </w:r>
      <w:r w:rsidR="00E702AE" w:rsidRPr="00CF30B8">
        <w:rPr>
          <w:szCs w:val="24"/>
        </w:rPr>
        <w:t>, Pretoria</w:t>
      </w:r>
      <w:r w:rsidR="001E50EC" w:rsidRPr="00CF30B8">
        <w:rPr>
          <w:szCs w:val="24"/>
        </w:rPr>
        <w:t>, seeking</w:t>
      </w:r>
      <w:r w:rsidR="00511C53" w:rsidRPr="00CF30B8">
        <w:rPr>
          <w:szCs w:val="24"/>
        </w:rPr>
        <w:t>,</w:t>
      </w:r>
      <w:r w:rsidR="001E50EC" w:rsidRPr="00CF30B8">
        <w:rPr>
          <w:szCs w:val="24"/>
        </w:rPr>
        <w:t xml:space="preserve"> </w:t>
      </w:r>
      <w:r w:rsidR="00511C53" w:rsidRPr="00CF30B8">
        <w:rPr>
          <w:szCs w:val="24"/>
        </w:rPr>
        <w:t xml:space="preserve">among others, </w:t>
      </w:r>
      <w:r w:rsidR="001E50EC" w:rsidRPr="00CF30B8">
        <w:rPr>
          <w:szCs w:val="24"/>
          <w:highlight w:val="yellow"/>
        </w:rPr>
        <w:t>an order</w:t>
      </w:r>
      <w:r w:rsidR="00511C53" w:rsidRPr="00CF30B8">
        <w:rPr>
          <w:szCs w:val="24"/>
          <w:highlight w:val="yellow"/>
        </w:rPr>
        <w:t xml:space="preserve"> declaring</w:t>
      </w:r>
      <w:r w:rsidR="001E50EC" w:rsidRPr="00CF30B8">
        <w:rPr>
          <w:szCs w:val="24"/>
          <w:highlight w:val="yellow"/>
        </w:rPr>
        <w:t xml:space="preserve"> that he</w:t>
      </w:r>
      <w:r w:rsidR="00E333A5" w:rsidRPr="00CF30B8">
        <w:rPr>
          <w:szCs w:val="24"/>
          <w:highlight w:val="yellow"/>
        </w:rPr>
        <w:t>,</w:t>
      </w:r>
      <w:r w:rsidR="001E50EC" w:rsidRPr="00CF30B8">
        <w:rPr>
          <w:szCs w:val="24"/>
          <w:highlight w:val="yellow"/>
        </w:rPr>
        <w:t xml:space="preserve"> </w:t>
      </w:r>
      <w:r w:rsidR="00E333A5" w:rsidRPr="00CF30B8">
        <w:rPr>
          <w:szCs w:val="24"/>
          <w:highlight w:val="yellow"/>
        </w:rPr>
        <w:t xml:space="preserve">‘or his assigns and successors in title of the Property’, </w:t>
      </w:r>
      <w:r w:rsidR="001E50EC" w:rsidRPr="00CF30B8">
        <w:rPr>
          <w:szCs w:val="24"/>
          <w:highlight w:val="yellow"/>
        </w:rPr>
        <w:t>w</w:t>
      </w:r>
      <w:r w:rsidR="00E333A5" w:rsidRPr="00CF30B8">
        <w:rPr>
          <w:szCs w:val="24"/>
          <w:highlight w:val="yellow"/>
        </w:rPr>
        <w:t xml:space="preserve">ere </w:t>
      </w:r>
      <w:r w:rsidR="001E50EC" w:rsidRPr="00CF30B8">
        <w:rPr>
          <w:szCs w:val="24"/>
          <w:highlight w:val="yellow"/>
        </w:rPr>
        <w:t>not liable for the historic</w:t>
      </w:r>
      <w:r w:rsidR="00511C53" w:rsidRPr="00CF30B8">
        <w:rPr>
          <w:szCs w:val="24"/>
          <w:highlight w:val="yellow"/>
        </w:rPr>
        <w:t>al</w:t>
      </w:r>
      <w:r w:rsidR="001E50EC" w:rsidRPr="00CF30B8">
        <w:rPr>
          <w:szCs w:val="24"/>
          <w:highlight w:val="yellow"/>
        </w:rPr>
        <w:t xml:space="preserve"> debt</w:t>
      </w:r>
      <w:r w:rsidR="001E50EC" w:rsidRPr="00CF30B8">
        <w:rPr>
          <w:szCs w:val="24"/>
        </w:rPr>
        <w:t xml:space="preserve"> </w:t>
      </w:r>
      <w:r w:rsidR="00927C8B" w:rsidRPr="00CF30B8">
        <w:rPr>
          <w:szCs w:val="24"/>
        </w:rPr>
        <w:t xml:space="preserve">owed </w:t>
      </w:r>
      <w:r w:rsidR="001E50EC" w:rsidRPr="00CF30B8">
        <w:rPr>
          <w:szCs w:val="24"/>
        </w:rPr>
        <w:t>to the appellant</w:t>
      </w:r>
      <w:r w:rsidR="00511C53" w:rsidRPr="00CF30B8">
        <w:rPr>
          <w:szCs w:val="24"/>
        </w:rPr>
        <w:t xml:space="preserve"> by previous owners</w:t>
      </w:r>
      <w:r w:rsidR="001E50EC" w:rsidRPr="00CF30B8">
        <w:rPr>
          <w:szCs w:val="24"/>
        </w:rPr>
        <w:t>.</w:t>
      </w:r>
      <w:r w:rsidR="00226DA2" w:rsidRPr="00CF30B8">
        <w:rPr>
          <w:szCs w:val="24"/>
        </w:rPr>
        <w:t xml:space="preserve"> </w:t>
      </w:r>
      <w:r w:rsidR="00511C53" w:rsidRPr="00CF30B8">
        <w:rPr>
          <w:szCs w:val="24"/>
        </w:rPr>
        <w:t>On 8 September 2014</w:t>
      </w:r>
      <w:r w:rsidR="00226DA2" w:rsidRPr="00CF30B8">
        <w:rPr>
          <w:szCs w:val="24"/>
        </w:rPr>
        <w:t>,</w:t>
      </w:r>
      <w:r w:rsidR="00B23CE5" w:rsidRPr="00CF30B8">
        <w:rPr>
          <w:szCs w:val="24"/>
        </w:rPr>
        <w:t xml:space="preserve"> </w:t>
      </w:r>
      <w:r w:rsidR="00A76517" w:rsidRPr="00CF30B8">
        <w:rPr>
          <w:szCs w:val="24"/>
        </w:rPr>
        <w:t xml:space="preserve">the </w:t>
      </w:r>
      <w:r w:rsidR="00927C8B" w:rsidRPr="00CF30B8">
        <w:rPr>
          <w:szCs w:val="24"/>
        </w:rPr>
        <w:t>h</w:t>
      </w:r>
      <w:r w:rsidR="00A76517" w:rsidRPr="00CF30B8">
        <w:rPr>
          <w:szCs w:val="24"/>
        </w:rPr>
        <w:t xml:space="preserve">igh </w:t>
      </w:r>
      <w:r w:rsidR="00927C8B" w:rsidRPr="00CF30B8">
        <w:rPr>
          <w:szCs w:val="24"/>
        </w:rPr>
        <w:t>c</w:t>
      </w:r>
      <w:r w:rsidR="00A76517" w:rsidRPr="00CF30B8">
        <w:rPr>
          <w:szCs w:val="24"/>
        </w:rPr>
        <w:t>ourt (</w:t>
      </w:r>
      <w:r w:rsidR="006E6769" w:rsidRPr="00CF30B8">
        <w:rPr>
          <w:szCs w:val="24"/>
        </w:rPr>
        <w:t>Fourie J</w:t>
      </w:r>
      <w:r w:rsidR="00A76517" w:rsidRPr="00CF30B8">
        <w:rPr>
          <w:szCs w:val="24"/>
        </w:rPr>
        <w:t>)</w:t>
      </w:r>
      <w:r w:rsidR="006E6769" w:rsidRPr="00CF30B8">
        <w:rPr>
          <w:szCs w:val="24"/>
        </w:rPr>
        <w:t xml:space="preserve"> </w:t>
      </w:r>
      <w:r w:rsidR="00BF79EE" w:rsidRPr="00CF30B8">
        <w:rPr>
          <w:szCs w:val="24"/>
          <w:highlight w:val="yellow"/>
        </w:rPr>
        <w:t>granted</w:t>
      </w:r>
      <w:r w:rsidR="008B04B5" w:rsidRPr="00CF30B8">
        <w:rPr>
          <w:szCs w:val="24"/>
          <w:highlight w:val="yellow"/>
        </w:rPr>
        <w:t xml:space="preserve"> the following</w:t>
      </w:r>
      <w:r w:rsidR="00C1200D" w:rsidRPr="00CF30B8">
        <w:rPr>
          <w:szCs w:val="24"/>
          <w:highlight w:val="yellow"/>
        </w:rPr>
        <w:t xml:space="preserve"> </w:t>
      </w:r>
      <w:r w:rsidR="00927C8B" w:rsidRPr="00CF30B8">
        <w:rPr>
          <w:szCs w:val="24"/>
          <w:highlight w:val="yellow"/>
        </w:rPr>
        <w:t>order</w:t>
      </w:r>
      <w:r w:rsidR="00927C8B" w:rsidRPr="00CF30B8">
        <w:rPr>
          <w:szCs w:val="24"/>
        </w:rPr>
        <w:t xml:space="preserve"> </w:t>
      </w:r>
      <w:r w:rsidR="00A43D3A" w:rsidRPr="00CF30B8">
        <w:rPr>
          <w:szCs w:val="24"/>
        </w:rPr>
        <w:t>in</w:t>
      </w:r>
      <w:r w:rsidR="00BF79EE" w:rsidRPr="00CF30B8">
        <w:rPr>
          <w:szCs w:val="24"/>
        </w:rPr>
        <w:t xml:space="preserve"> </w:t>
      </w:r>
      <w:r w:rsidR="00C1200D" w:rsidRPr="00CF30B8">
        <w:rPr>
          <w:szCs w:val="24"/>
        </w:rPr>
        <w:t>favour of the respondent:</w:t>
      </w:r>
    </w:p>
    <w:p w:rsidR="007211CC" w:rsidRPr="00CF30B8" w:rsidRDefault="007211CC" w:rsidP="00082A59">
      <w:pPr>
        <w:pStyle w:val="Quote"/>
        <w:spacing w:before="0" w:after="0"/>
        <w:rPr>
          <w:sz w:val="24"/>
          <w:szCs w:val="24"/>
        </w:rPr>
      </w:pPr>
    </w:p>
    <w:p w:rsidR="00C1200D" w:rsidRPr="00CF30B8" w:rsidRDefault="00162B92" w:rsidP="007211CC">
      <w:pPr>
        <w:pStyle w:val="Quote"/>
        <w:spacing w:before="0" w:after="0" w:line="240" w:lineRule="auto"/>
        <w:ind w:left="720"/>
        <w:rPr>
          <w:sz w:val="24"/>
          <w:szCs w:val="24"/>
        </w:rPr>
      </w:pPr>
      <w:r w:rsidRPr="00CF30B8">
        <w:rPr>
          <w:sz w:val="24"/>
          <w:szCs w:val="24"/>
        </w:rPr>
        <w:t>‘</w:t>
      </w:r>
      <w:r w:rsidR="00C1200D" w:rsidRPr="00CF30B8">
        <w:rPr>
          <w:sz w:val="24"/>
          <w:szCs w:val="24"/>
        </w:rPr>
        <w:t>1</w:t>
      </w:r>
      <w:r w:rsidR="008B04B5" w:rsidRPr="00CF30B8">
        <w:rPr>
          <w:sz w:val="24"/>
          <w:szCs w:val="24"/>
        </w:rPr>
        <w:t>.</w:t>
      </w:r>
      <w:r w:rsidR="00C1200D" w:rsidRPr="00CF30B8">
        <w:rPr>
          <w:sz w:val="24"/>
          <w:szCs w:val="24"/>
        </w:rPr>
        <w:t xml:space="preserve"> </w:t>
      </w:r>
      <w:proofErr w:type="gramStart"/>
      <w:r w:rsidR="00C1200D" w:rsidRPr="00CF30B8">
        <w:rPr>
          <w:sz w:val="24"/>
          <w:szCs w:val="24"/>
        </w:rPr>
        <w:t>It</w:t>
      </w:r>
      <w:proofErr w:type="gramEnd"/>
      <w:r w:rsidR="00C1200D" w:rsidRPr="00CF30B8">
        <w:rPr>
          <w:sz w:val="24"/>
          <w:szCs w:val="24"/>
        </w:rPr>
        <w:t xml:space="preserve"> is declared that:</w:t>
      </w:r>
    </w:p>
    <w:p w:rsidR="00162B92" w:rsidRPr="00CF30B8" w:rsidRDefault="00162B92" w:rsidP="007211CC">
      <w:pPr>
        <w:pStyle w:val="Quote"/>
        <w:spacing w:before="0" w:after="0" w:line="240" w:lineRule="auto"/>
        <w:ind w:left="720"/>
        <w:rPr>
          <w:sz w:val="24"/>
          <w:szCs w:val="24"/>
        </w:rPr>
      </w:pPr>
      <w:r w:rsidRPr="00CF30B8">
        <w:rPr>
          <w:sz w:val="24"/>
          <w:szCs w:val="24"/>
        </w:rPr>
        <w:t>1.1</w:t>
      </w:r>
      <w:r w:rsidR="006C4FE4" w:rsidRPr="00CF30B8">
        <w:rPr>
          <w:sz w:val="24"/>
          <w:szCs w:val="24"/>
        </w:rPr>
        <w:t xml:space="preserve"> </w:t>
      </w:r>
      <w:r w:rsidRPr="002B6A24">
        <w:rPr>
          <w:sz w:val="24"/>
          <w:szCs w:val="24"/>
          <w:highlight w:val="yellow"/>
        </w:rPr>
        <w:t>the security</w:t>
      </w:r>
      <w:r w:rsidR="00C0107B" w:rsidRPr="002B6A24">
        <w:rPr>
          <w:sz w:val="24"/>
          <w:szCs w:val="24"/>
          <w:highlight w:val="yellow"/>
        </w:rPr>
        <w:t xml:space="preserve"> provided</w:t>
      </w:r>
      <w:r w:rsidRPr="002B6A24">
        <w:rPr>
          <w:sz w:val="24"/>
          <w:szCs w:val="24"/>
          <w:highlight w:val="yellow"/>
        </w:rPr>
        <w:t xml:space="preserve"> by section 118(3</w:t>
      </w:r>
      <w:r w:rsidRPr="00CF30B8">
        <w:rPr>
          <w:sz w:val="24"/>
          <w:szCs w:val="24"/>
        </w:rPr>
        <w:t>) of Act No 32 of 2000</w:t>
      </w:r>
      <w:r w:rsidR="005262F3" w:rsidRPr="00CF30B8">
        <w:rPr>
          <w:sz w:val="24"/>
          <w:szCs w:val="24"/>
        </w:rPr>
        <w:t xml:space="preserve"> [the Act]</w:t>
      </w:r>
      <w:r w:rsidRPr="00CF30B8">
        <w:rPr>
          <w:sz w:val="24"/>
          <w:szCs w:val="24"/>
        </w:rPr>
        <w:t xml:space="preserve"> in favour of the respondent with regard to the property known as Erf 296, </w:t>
      </w:r>
      <w:proofErr w:type="spellStart"/>
      <w:r w:rsidRPr="00CF30B8">
        <w:rPr>
          <w:sz w:val="24"/>
          <w:szCs w:val="24"/>
        </w:rPr>
        <w:t>Wonderboom</w:t>
      </w:r>
      <w:proofErr w:type="spellEnd"/>
      <w:r w:rsidRPr="00CF30B8">
        <w:rPr>
          <w:sz w:val="24"/>
          <w:szCs w:val="24"/>
        </w:rPr>
        <w:t xml:space="preserve"> Township, Registration Division J.R</w:t>
      </w:r>
      <w:r w:rsidR="00C1200D" w:rsidRPr="00CF30B8">
        <w:rPr>
          <w:sz w:val="24"/>
          <w:szCs w:val="24"/>
        </w:rPr>
        <w:t>.</w:t>
      </w:r>
      <w:r w:rsidR="00C0107B" w:rsidRPr="00CF30B8">
        <w:rPr>
          <w:sz w:val="24"/>
          <w:szCs w:val="24"/>
        </w:rPr>
        <w:t>,</w:t>
      </w:r>
      <w:r w:rsidRPr="00CF30B8">
        <w:rPr>
          <w:sz w:val="24"/>
          <w:szCs w:val="24"/>
        </w:rPr>
        <w:t xml:space="preserve"> Gauteng</w:t>
      </w:r>
      <w:r w:rsidR="00BD36F1" w:rsidRPr="00CF30B8">
        <w:rPr>
          <w:sz w:val="24"/>
          <w:szCs w:val="24"/>
        </w:rPr>
        <w:t xml:space="preserve"> [the property]</w:t>
      </w:r>
      <w:r w:rsidRPr="00CF30B8">
        <w:rPr>
          <w:sz w:val="24"/>
          <w:szCs w:val="24"/>
        </w:rPr>
        <w:t xml:space="preserve">, </w:t>
      </w:r>
      <w:r w:rsidRPr="002B6A24">
        <w:rPr>
          <w:sz w:val="24"/>
          <w:szCs w:val="24"/>
          <w:highlight w:val="yellow"/>
        </w:rPr>
        <w:t>was extinguished by the sale in execution</w:t>
      </w:r>
      <w:r w:rsidRPr="00CF30B8">
        <w:rPr>
          <w:sz w:val="24"/>
          <w:szCs w:val="24"/>
        </w:rPr>
        <w:t xml:space="preserve"> and subsequent transfer of that property into the name of the applicant</w:t>
      </w:r>
      <w:r w:rsidR="00C0107B" w:rsidRPr="00CF30B8">
        <w:rPr>
          <w:sz w:val="24"/>
          <w:szCs w:val="24"/>
        </w:rPr>
        <w:t>;</w:t>
      </w:r>
    </w:p>
    <w:p w:rsidR="00162B92" w:rsidRPr="00CF30B8" w:rsidRDefault="00162B92" w:rsidP="007211CC">
      <w:pPr>
        <w:pStyle w:val="Quote"/>
        <w:spacing w:before="0" w:after="0" w:line="240" w:lineRule="auto"/>
        <w:ind w:left="720"/>
        <w:rPr>
          <w:sz w:val="24"/>
          <w:szCs w:val="24"/>
        </w:rPr>
      </w:pPr>
      <w:r w:rsidRPr="00CF30B8">
        <w:rPr>
          <w:sz w:val="24"/>
          <w:szCs w:val="24"/>
        </w:rPr>
        <w:t>1.2.</w:t>
      </w:r>
      <w:r w:rsidR="006C4FE4" w:rsidRPr="00CF30B8">
        <w:rPr>
          <w:sz w:val="24"/>
          <w:szCs w:val="24"/>
        </w:rPr>
        <w:t xml:space="preserve"> </w:t>
      </w:r>
      <w:r w:rsidRPr="002B6A24">
        <w:rPr>
          <w:sz w:val="24"/>
          <w:szCs w:val="24"/>
          <w:highlight w:val="yellow"/>
        </w:rPr>
        <w:t>the applicant (or his successor in title)</w:t>
      </w:r>
      <w:r w:rsidR="006B20EC" w:rsidRPr="002B6A24">
        <w:rPr>
          <w:sz w:val="24"/>
          <w:szCs w:val="24"/>
          <w:highlight w:val="yellow"/>
        </w:rPr>
        <w:t>;</w:t>
      </w:r>
      <w:r w:rsidRPr="002B6A24">
        <w:rPr>
          <w:sz w:val="24"/>
          <w:szCs w:val="24"/>
          <w:highlight w:val="yellow"/>
        </w:rPr>
        <w:t xml:space="preserve"> is not liable for the payment of outstanding municipal debts older than 2 years</w:t>
      </w:r>
      <w:r w:rsidRPr="00CF30B8">
        <w:rPr>
          <w:sz w:val="24"/>
          <w:szCs w:val="24"/>
        </w:rPr>
        <w:t xml:space="preserve"> which were incurred by his predecessor(s) in title prior to the date of transfer of the said property into his name;</w:t>
      </w:r>
    </w:p>
    <w:p w:rsidR="00162B92" w:rsidRPr="00CF30B8" w:rsidRDefault="00162B92" w:rsidP="007211CC">
      <w:pPr>
        <w:pStyle w:val="Quote"/>
        <w:spacing w:before="0" w:after="0" w:line="240" w:lineRule="auto"/>
        <w:ind w:left="720"/>
        <w:rPr>
          <w:sz w:val="24"/>
          <w:szCs w:val="24"/>
        </w:rPr>
      </w:pPr>
      <w:r w:rsidRPr="00CF30B8">
        <w:rPr>
          <w:sz w:val="24"/>
          <w:szCs w:val="24"/>
        </w:rPr>
        <w:t>1.3.</w:t>
      </w:r>
      <w:r w:rsidR="006C4FE4" w:rsidRPr="00CF30B8">
        <w:rPr>
          <w:sz w:val="24"/>
          <w:szCs w:val="24"/>
        </w:rPr>
        <w:t xml:space="preserve"> </w:t>
      </w:r>
      <w:proofErr w:type="gramStart"/>
      <w:r w:rsidRPr="002B6A24">
        <w:rPr>
          <w:sz w:val="24"/>
          <w:szCs w:val="24"/>
          <w:highlight w:val="yellow"/>
        </w:rPr>
        <w:t>the</w:t>
      </w:r>
      <w:proofErr w:type="gramEnd"/>
      <w:r w:rsidRPr="002B6A24">
        <w:rPr>
          <w:sz w:val="24"/>
          <w:szCs w:val="24"/>
          <w:highlight w:val="yellow"/>
        </w:rPr>
        <w:t xml:space="preserve"> respondent has no right to refuse the supply of municipal services</w:t>
      </w:r>
      <w:r w:rsidRPr="00CF30B8">
        <w:rPr>
          <w:sz w:val="24"/>
          <w:szCs w:val="24"/>
        </w:rPr>
        <w:t xml:space="preserve"> (such as electricity, water, sanitation and waste removal)</w:t>
      </w:r>
      <w:r w:rsidR="00E540A9" w:rsidRPr="00CF30B8">
        <w:rPr>
          <w:sz w:val="24"/>
          <w:szCs w:val="24"/>
        </w:rPr>
        <w:t xml:space="preserve"> </w:t>
      </w:r>
      <w:r w:rsidRPr="00CF30B8">
        <w:rPr>
          <w:sz w:val="24"/>
          <w:szCs w:val="24"/>
        </w:rPr>
        <w:t>to the applicant (or his successor in title) with regard to the said property only because of outstanding municipal debts older than 2</w:t>
      </w:r>
      <w:r w:rsidR="001E6DA8" w:rsidRPr="00CF30B8">
        <w:rPr>
          <w:sz w:val="24"/>
          <w:szCs w:val="24"/>
        </w:rPr>
        <w:t> </w:t>
      </w:r>
      <w:r w:rsidRPr="00CF30B8">
        <w:rPr>
          <w:sz w:val="24"/>
          <w:szCs w:val="24"/>
        </w:rPr>
        <w:t>years.</w:t>
      </w:r>
    </w:p>
    <w:p w:rsidR="006A5F34" w:rsidRPr="00CF30B8" w:rsidRDefault="00162B92" w:rsidP="007211CC">
      <w:pPr>
        <w:pStyle w:val="Quote"/>
        <w:spacing w:before="0" w:after="0" w:line="240" w:lineRule="auto"/>
        <w:ind w:left="720"/>
        <w:rPr>
          <w:sz w:val="24"/>
          <w:szCs w:val="24"/>
        </w:rPr>
      </w:pPr>
      <w:r w:rsidRPr="00CF30B8">
        <w:rPr>
          <w:sz w:val="24"/>
          <w:szCs w:val="24"/>
        </w:rPr>
        <w:t>2.</w:t>
      </w:r>
      <w:r w:rsidR="001E6DA8" w:rsidRPr="00CF30B8">
        <w:rPr>
          <w:sz w:val="24"/>
          <w:szCs w:val="24"/>
        </w:rPr>
        <w:t xml:space="preserve"> </w:t>
      </w:r>
      <w:r w:rsidRPr="00CF30B8">
        <w:rPr>
          <w:sz w:val="24"/>
          <w:szCs w:val="24"/>
        </w:rPr>
        <w:t>There shall be no order with regard to costs.’</w:t>
      </w:r>
    </w:p>
    <w:p w:rsidR="007211CC" w:rsidRPr="00CF30B8" w:rsidRDefault="007211CC" w:rsidP="00082A59">
      <w:pPr>
        <w:pStyle w:val="Quote"/>
        <w:spacing w:before="0" w:after="0"/>
        <w:rPr>
          <w:sz w:val="24"/>
          <w:szCs w:val="24"/>
        </w:rPr>
      </w:pPr>
    </w:p>
    <w:p w:rsidR="00567682" w:rsidRPr="00CF30B8" w:rsidRDefault="00567682" w:rsidP="00082A59">
      <w:pPr>
        <w:pStyle w:val="Quote"/>
        <w:spacing w:before="0" w:after="0"/>
        <w:rPr>
          <w:sz w:val="24"/>
          <w:szCs w:val="24"/>
        </w:rPr>
      </w:pPr>
      <w:r w:rsidRPr="00CF30B8">
        <w:rPr>
          <w:sz w:val="24"/>
          <w:szCs w:val="24"/>
        </w:rPr>
        <w:t xml:space="preserve">With leave of the court a quo, the </w:t>
      </w:r>
      <w:r w:rsidRPr="002B6A24">
        <w:rPr>
          <w:sz w:val="24"/>
          <w:szCs w:val="24"/>
          <w:highlight w:val="yellow"/>
        </w:rPr>
        <w:t>appellant now appeals</w:t>
      </w:r>
      <w:r w:rsidRPr="00CF30B8">
        <w:rPr>
          <w:sz w:val="24"/>
          <w:szCs w:val="24"/>
        </w:rPr>
        <w:t xml:space="preserve"> against this order.</w:t>
      </w:r>
    </w:p>
    <w:p w:rsidR="00082A59" w:rsidRPr="00CF30B8" w:rsidRDefault="00082A59" w:rsidP="00082A59">
      <w:pPr>
        <w:pStyle w:val="Quote"/>
        <w:spacing w:before="0" w:after="0"/>
        <w:rPr>
          <w:sz w:val="24"/>
          <w:szCs w:val="24"/>
        </w:rPr>
      </w:pPr>
    </w:p>
    <w:p w:rsidR="00BE3802" w:rsidRPr="00CF30B8" w:rsidRDefault="00B75983" w:rsidP="00B75983">
      <w:pPr>
        <w:pStyle w:val="Sectionnumbering"/>
        <w:numPr>
          <w:ilvl w:val="0"/>
          <w:numId w:val="0"/>
        </w:numPr>
        <w:spacing w:before="0" w:after="0"/>
        <w:rPr>
          <w:szCs w:val="24"/>
        </w:rPr>
      </w:pPr>
      <w:r w:rsidRPr="00CF30B8">
        <w:rPr>
          <w:szCs w:val="24"/>
        </w:rPr>
        <w:t>[7]</w:t>
      </w:r>
      <w:r w:rsidRPr="00CF30B8">
        <w:rPr>
          <w:szCs w:val="24"/>
        </w:rPr>
        <w:tab/>
      </w:r>
      <w:r w:rsidR="006A5F34" w:rsidRPr="00CF30B8">
        <w:rPr>
          <w:szCs w:val="24"/>
        </w:rPr>
        <w:t xml:space="preserve">The relevant </w:t>
      </w:r>
      <w:r w:rsidR="00064565" w:rsidRPr="00CF30B8">
        <w:rPr>
          <w:szCs w:val="24"/>
        </w:rPr>
        <w:t xml:space="preserve">parts of </w:t>
      </w:r>
      <w:r w:rsidR="00AE3279" w:rsidRPr="00CF30B8">
        <w:rPr>
          <w:szCs w:val="24"/>
        </w:rPr>
        <w:t>s</w:t>
      </w:r>
      <w:r w:rsidR="004F2405" w:rsidRPr="00CF30B8">
        <w:rPr>
          <w:szCs w:val="24"/>
        </w:rPr>
        <w:t> </w:t>
      </w:r>
      <w:r w:rsidR="00AE3279" w:rsidRPr="00CF30B8">
        <w:rPr>
          <w:szCs w:val="24"/>
        </w:rPr>
        <w:t xml:space="preserve">118 </w:t>
      </w:r>
      <w:r w:rsidR="006A5F34" w:rsidRPr="00CF30B8">
        <w:rPr>
          <w:szCs w:val="24"/>
        </w:rPr>
        <w:t>provide</w:t>
      </w:r>
      <w:r w:rsidR="001E6DA8" w:rsidRPr="00CF30B8">
        <w:rPr>
          <w:szCs w:val="24"/>
        </w:rPr>
        <w:t xml:space="preserve"> as follows:</w:t>
      </w:r>
      <w:bookmarkStart w:id="0" w:name="0-0-0-136329"/>
      <w:bookmarkEnd w:id="0"/>
      <w:r w:rsidR="00BE3802" w:rsidRPr="00CF30B8">
        <w:rPr>
          <w:szCs w:val="24"/>
        </w:rPr>
        <w:t xml:space="preserve"> </w:t>
      </w:r>
    </w:p>
    <w:p w:rsidR="007211CC" w:rsidRPr="00CF30B8" w:rsidRDefault="007211CC" w:rsidP="00082A59">
      <w:pPr>
        <w:pStyle w:val="Sectionnumbering"/>
        <w:numPr>
          <w:ilvl w:val="0"/>
          <w:numId w:val="0"/>
        </w:numPr>
        <w:spacing w:before="0" w:after="0"/>
        <w:rPr>
          <w:szCs w:val="24"/>
        </w:rPr>
      </w:pPr>
    </w:p>
    <w:p w:rsidR="00442E9B" w:rsidRPr="00CF30B8" w:rsidRDefault="00442E9B" w:rsidP="007211CC">
      <w:pPr>
        <w:pStyle w:val="Sectionnumbering"/>
        <w:numPr>
          <w:ilvl w:val="0"/>
          <w:numId w:val="0"/>
        </w:numPr>
        <w:spacing w:before="0" w:after="0" w:line="240" w:lineRule="auto"/>
        <w:ind w:left="720"/>
        <w:rPr>
          <w:szCs w:val="24"/>
        </w:rPr>
      </w:pPr>
      <w:r w:rsidRPr="00CF30B8">
        <w:rPr>
          <w:szCs w:val="24"/>
        </w:rPr>
        <w:t>‘</w:t>
      </w:r>
      <w:bookmarkStart w:id="1" w:name="0-0-0-139161"/>
      <w:bookmarkEnd w:id="1"/>
      <w:r w:rsidRPr="00CF30B8">
        <w:rPr>
          <w:szCs w:val="24"/>
        </w:rPr>
        <w:t>(1) A registrar of deeds may not register the transfer of property except on production to that registrar of deeds of a prescribed certificate</w:t>
      </w:r>
      <w:r w:rsidR="001E6DA8" w:rsidRPr="00CF30B8">
        <w:rPr>
          <w:szCs w:val="24"/>
        </w:rPr>
        <w:t xml:space="preserve"> –</w:t>
      </w:r>
    </w:p>
    <w:p w:rsidR="00442E9B" w:rsidRPr="00CF30B8" w:rsidRDefault="00442E9B" w:rsidP="007211CC">
      <w:pPr>
        <w:pStyle w:val="Quote"/>
        <w:spacing w:before="0" w:after="0" w:line="240" w:lineRule="auto"/>
        <w:ind w:left="720"/>
        <w:rPr>
          <w:sz w:val="24"/>
          <w:szCs w:val="24"/>
        </w:rPr>
      </w:pPr>
      <w:bookmarkStart w:id="2" w:name="0-0-0-139163"/>
      <w:bookmarkEnd w:id="2"/>
      <w:r w:rsidRPr="00CF30B8">
        <w:rPr>
          <w:i/>
          <w:sz w:val="24"/>
          <w:szCs w:val="24"/>
        </w:rPr>
        <w:lastRenderedPageBreak/>
        <w:t>(a)</w:t>
      </w:r>
      <w:r w:rsidRPr="00CF30B8">
        <w:rPr>
          <w:sz w:val="24"/>
          <w:szCs w:val="24"/>
        </w:rPr>
        <w:t>   </w:t>
      </w:r>
      <w:proofErr w:type="gramStart"/>
      <w:r w:rsidRPr="00CF30B8">
        <w:rPr>
          <w:sz w:val="24"/>
          <w:szCs w:val="24"/>
        </w:rPr>
        <w:t>issued</w:t>
      </w:r>
      <w:proofErr w:type="gramEnd"/>
      <w:r w:rsidRPr="00CF30B8">
        <w:rPr>
          <w:sz w:val="24"/>
          <w:szCs w:val="24"/>
        </w:rPr>
        <w:t xml:space="preserve"> by the municipality or municipalities in which that property is situated; and</w:t>
      </w:r>
    </w:p>
    <w:p w:rsidR="00442E9B" w:rsidRPr="00CF30B8" w:rsidRDefault="00442E9B" w:rsidP="007211CC">
      <w:pPr>
        <w:pStyle w:val="Quote"/>
        <w:spacing w:before="0" w:after="0" w:line="240" w:lineRule="auto"/>
        <w:ind w:left="720"/>
        <w:rPr>
          <w:sz w:val="24"/>
          <w:szCs w:val="24"/>
        </w:rPr>
      </w:pPr>
      <w:bookmarkStart w:id="3" w:name="0-0-0-139165"/>
      <w:bookmarkEnd w:id="3"/>
      <w:r w:rsidRPr="00CF30B8">
        <w:rPr>
          <w:i/>
          <w:sz w:val="24"/>
          <w:szCs w:val="24"/>
        </w:rPr>
        <w:t>(b)</w:t>
      </w:r>
      <w:r w:rsidRPr="00CF30B8">
        <w:rPr>
          <w:sz w:val="24"/>
          <w:szCs w:val="24"/>
        </w:rPr>
        <w:t>   </w:t>
      </w:r>
      <w:proofErr w:type="gramStart"/>
      <w:r w:rsidRPr="00CF30B8">
        <w:rPr>
          <w:sz w:val="24"/>
          <w:szCs w:val="24"/>
        </w:rPr>
        <w:t>which</w:t>
      </w:r>
      <w:proofErr w:type="gramEnd"/>
      <w:r w:rsidRPr="00CF30B8">
        <w:rPr>
          <w:sz w:val="24"/>
          <w:szCs w:val="24"/>
        </w:rPr>
        <w:t xml:space="preserve"> certifies that all amounts that became due in connection with that property for municipal service fees, surcharges on fees, property rates and other municipal taxes, levies and duties during the two years preceding the date of application for the certificate have been fully paid.</w:t>
      </w:r>
    </w:p>
    <w:p w:rsidR="00064565" w:rsidRPr="00CF30B8" w:rsidRDefault="00064565" w:rsidP="007211CC">
      <w:pPr>
        <w:pStyle w:val="Quote"/>
        <w:spacing w:before="0" w:after="0" w:line="240" w:lineRule="auto"/>
        <w:ind w:left="720"/>
        <w:rPr>
          <w:sz w:val="24"/>
          <w:szCs w:val="24"/>
        </w:rPr>
      </w:pPr>
      <w:bookmarkStart w:id="4" w:name="0-0-0-139167"/>
      <w:bookmarkStart w:id="5" w:name="0-0-0-139173"/>
      <w:bookmarkEnd w:id="4"/>
      <w:bookmarkEnd w:id="5"/>
      <w:r w:rsidRPr="00CF30B8">
        <w:rPr>
          <w:sz w:val="24"/>
          <w:szCs w:val="24"/>
        </w:rPr>
        <w:t>. . .</w:t>
      </w:r>
    </w:p>
    <w:p w:rsidR="00442E9B" w:rsidRPr="00CF30B8" w:rsidRDefault="00442E9B" w:rsidP="007211CC">
      <w:pPr>
        <w:pStyle w:val="Quote"/>
        <w:spacing w:before="0" w:after="0" w:line="240" w:lineRule="auto"/>
        <w:ind w:left="720"/>
        <w:rPr>
          <w:sz w:val="24"/>
          <w:szCs w:val="24"/>
          <w:lang w:eastAsia="en-ZA"/>
        </w:rPr>
      </w:pPr>
      <w:r w:rsidRPr="00CF30B8">
        <w:rPr>
          <w:sz w:val="24"/>
          <w:szCs w:val="24"/>
          <w:lang w:eastAsia="en-ZA"/>
        </w:rPr>
        <w:t xml:space="preserve">(3) An amount due for </w:t>
      </w:r>
      <w:r w:rsidRPr="00CF30B8">
        <w:rPr>
          <w:sz w:val="24"/>
          <w:szCs w:val="24"/>
        </w:rPr>
        <w:t>municipal</w:t>
      </w:r>
      <w:r w:rsidRPr="00CF30B8">
        <w:rPr>
          <w:sz w:val="24"/>
          <w:szCs w:val="24"/>
          <w:lang w:eastAsia="en-ZA"/>
        </w:rPr>
        <w:t xml:space="preserve"> service fees, surcharges on fees, property rates and other municipal taxes, levies and duties is a charge upon the property in connection with</w:t>
      </w:r>
      <w:r w:rsidR="002677F6" w:rsidRPr="00CF30B8">
        <w:rPr>
          <w:sz w:val="24"/>
          <w:szCs w:val="24"/>
          <w:lang w:eastAsia="en-ZA"/>
        </w:rPr>
        <w:t xml:space="preserve"> which the amount is </w:t>
      </w:r>
      <w:r w:rsidRPr="00CF30B8">
        <w:rPr>
          <w:sz w:val="24"/>
          <w:szCs w:val="24"/>
          <w:lang w:eastAsia="en-ZA"/>
        </w:rPr>
        <w:t>owing and enjoys preference over any mortgage bond registered against the property.</w:t>
      </w:r>
      <w:r w:rsidR="006A5F34" w:rsidRPr="00CF30B8">
        <w:rPr>
          <w:sz w:val="24"/>
          <w:szCs w:val="24"/>
          <w:lang w:eastAsia="en-ZA"/>
        </w:rPr>
        <w:t>’</w:t>
      </w:r>
    </w:p>
    <w:p w:rsidR="00082A59" w:rsidRPr="00CF30B8" w:rsidRDefault="00082A59" w:rsidP="00082A59">
      <w:pPr>
        <w:pStyle w:val="Quote"/>
        <w:spacing w:before="0" w:after="0"/>
        <w:rPr>
          <w:sz w:val="24"/>
          <w:szCs w:val="24"/>
          <w:lang w:eastAsia="en-ZA"/>
        </w:rPr>
      </w:pPr>
    </w:p>
    <w:p w:rsidR="00B22854" w:rsidRPr="00CF30B8" w:rsidRDefault="00B75983" w:rsidP="00B75983">
      <w:pPr>
        <w:pStyle w:val="Sectionnumbering"/>
        <w:numPr>
          <w:ilvl w:val="0"/>
          <w:numId w:val="0"/>
        </w:numPr>
        <w:spacing w:before="0" w:after="0"/>
        <w:rPr>
          <w:szCs w:val="24"/>
        </w:rPr>
      </w:pPr>
      <w:bookmarkStart w:id="6" w:name="0-0-0-139175"/>
      <w:bookmarkEnd w:id="6"/>
      <w:r w:rsidRPr="00CF30B8">
        <w:rPr>
          <w:szCs w:val="24"/>
        </w:rPr>
        <w:t>[8]</w:t>
      </w:r>
      <w:r w:rsidRPr="00CF30B8">
        <w:rPr>
          <w:szCs w:val="24"/>
        </w:rPr>
        <w:tab/>
      </w:r>
      <w:r w:rsidR="00F35C46" w:rsidRPr="00CF30B8">
        <w:rPr>
          <w:szCs w:val="24"/>
        </w:rPr>
        <w:t>I</w:t>
      </w:r>
      <w:r w:rsidR="00931BF4" w:rsidRPr="00CF30B8">
        <w:rPr>
          <w:szCs w:val="24"/>
        </w:rPr>
        <w:t xml:space="preserve">n </w:t>
      </w:r>
      <w:r w:rsidR="00931BF4" w:rsidRPr="00CF30B8">
        <w:rPr>
          <w:i/>
          <w:szCs w:val="24"/>
        </w:rPr>
        <w:t>BOE Bank L</w:t>
      </w:r>
      <w:r w:rsidR="00F744D9" w:rsidRPr="00CF30B8">
        <w:rPr>
          <w:i/>
          <w:szCs w:val="24"/>
        </w:rPr>
        <w:t>td v Tshwane Metropolitan Municipality</w:t>
      </w:r>
      <w:r w:rsidR="0056185E" w:rsidRPr="00CF30B8">
        <w:rPr>
          <w:rStyle w:val="FootnoteReference"/>
          <w:szCs w:val="24"/>
        </w:rPr>
        <w:footnoteReference w:id="1"/>
      </w:r>
      <w:r w:rsidR="00A24139" w:rsidRPr="00CF30B8">
        <w:rPr>
          <w:szCs w:val="24"/>
        </w:rPr>
        <w:t xml:space="preserve"> Brand JA observed that provisions such as those contained in s</w:t>
      </w:r>
      <w:r w:rsidR="00192D09" w:rsidRPr="00CF30B8">
        <w:rPr>
          <w:szCs w:val="24"/>
        </w:rPr>
        <w:t> </w:t>
      </w:r>
      <w:r w:rsidR="00A24139" w:rsidRPr="00CF30B8">
        <w:rPr>
          <w:szCs w:val="24"/>
        </w:rPr>
        <w:t xml:space="preserve">118(1), ‘sometimes referred to as </w:t>
      </w:r>
      <w:r w:rsidR="00A24139" w:rsidRPr="00FC3CBE">
        <w:rPr>
          <w:szCs w:val="24"/>
          <w:highlight w:val="yellow"/>
        </w:rPr>
        <w:t>“embargo” or “veto” provisions</w:t>
      </w:r>
      <w:r w:rsidR="00A24139" w:rsidRPr="00CF30B8">
        <w:rPr>
          <w:szCs w:val="24"/>
        </w:rPr>
        <w:t xml:space="preserve">, can be </w:t>
      </w:r>
      <w:r w:rsidR="00A24139" w:rsidRPr="00FC3CBE">
        <w:rPr>
          <w:szCs w:val="24"/>
          <w:highlight w:val="yellow"/>
        </w:rPr>
        <w:t>traced back to provincial ordinances</w:t>
      </w:r>
      <w:r w:rsidR="00A24139" w:rsidRPr="00CF30B8">
        <w:rPr>
          <w:szCs w:val="24"/>
        </w:rPr>
        <w:t xml:space="preserve"> concerning local authorities passed many years ago’.</w:t>
      </w:r>
      <w:r w:rsidR="00A24139" w:rsidRPr="00CF30B8">
        <w:rPr>
          <w:rStyle w:val="FootnoteReference"/>
          <w:szCs w:val="24"/>
        </w:rPr>
        <w:footnoteReference w:id="2"/>
      </w:r>
      <w:r w:rsidR="00B22854" w:rsidRPr="00CF30B8">
        <w:rPr>
          <w:szCs w:val="24"/>
        </w:rPr>
        <w:t xml:space="preserve"> He said, </w:t>
      </w:r>
      <w:r w:rsidR="00F627AE" w:rsidRPr="00CF30B8">
        <w:rPr>
          <w:szCs w:val="24"/>
        </w:rPr>
        <w:t>further</w:t>
      </w:r>
      <w:r w:rsidR="00F627AE" w:rsidRPr="00CF30B8">
        <w:rPr>
          <w:rStyle w:val="FootnoteReference"/>
          <w:szCs w:val="24"/>
        </w:rPr>
        <w:footnoteReference w:id="3"/>
      </w:r>
      <w:r w:rsidR="00B22854" w:rsidRPr="00CF30B8">
        <w:rPr>
          <w:szCs w:val="24"/>
        </w:rPr>
        <w:t>:</w:t>
      </w:r>
    </w:p>
    <w:p w:rsidR="007211CC" w:rsidRPr="00CF30B8" w:rsidRDefault="007211CC" w:rsidP="00082A59">
      <w:pPr>
        <w:pStyle w:val="Quote"/>
        <w:spacing w:before="0" w:after="0"/>
        <w:rPr>
          <w:sz w:val="24"/>
          <w:szCs w:val="24"/>
        </w:rPr>
      </w:pPr>
    </w:p>
    <w:p w:rsidR="00F744D9" w:rsidRPr="00CF30B8" w:rsidRDefault="00B22854" w:rsidP="007211CC">
      <w:pPr>
        <w:pStyle w:val="Quote"/>
        <w:spacing w:before="0" w:after="0" w:line="240" w:lineRule="auto"/>
        <w:ind w:left="720"/>
        <w:rPr>
          <w:sz w:val="24"/>
          <w:szCs w:val="24"/>
        </w:rPr>
      </w:pPr>
      <w:r w:rsidRPr="00CF30B8">
        <w:rPr>
          <w:sz w:val="24"/>
          <w:szCs w:val="24"/>
        </w:rPr>
        <w:t>‘Whereas s</w:t>
      </w:r>
      <w:r w:rsidR="0038762A" w:rsidRPr="00CF30B8">
        <w:rPr>
          <w:sz w:val="24"/>
          <w:szCs w:val="24"/>
        </w:rPr>
        <w:t> </w:t>
      </w:r>
      <w:r w:rsidRPr="00CF30B8">
        <w:rPr>
          <w:sz w:val="24"/>
          <w:szCs w:val="24"/>
        </w:rPr>
        <w:t>50(1) of the Ordinance contained an embargo or veto provision, similar to s</w:t>
      </w:r>
      <w:r w:rsidR="0038762A" w:rsidRPr="00CF30B8">
        <w:rPr>
          <w:sz w:val="24"/>
          <w:szCs w:val="24"/>
        </w:rPr>
        <w:t> </w:t>
      </w:r>
      <w:r w:rsidRPr="00CF30B8">
        <w:rPr>
          <w:sz w:val="24"/>
          <w:szCs w:val="24"/>
        </w:rPr>
        <w:t>118(1), s</w:t>
      </w:r>
      <w:r w:rsidR="00226DA2" w:rsidRPr="00CF30B8">
        <w:rPr>
          <w:sz w:val="24"/>
          <w:szCs w:val="24"/>
        </w:rPr>
        <w:t> </w:t>
      </w:r>
      <w:r w:rsidRPr="00CF30B8">
        <w:rPr>
          <w:sz w:val="24"/>
          <w:szCs w:val="24"/>
        </w:rPr>
        <w:t xml:space="preserve">50(2) provided for a “charge” similar to </w:t>
      </w:r>
      <w:r w:rsidRPr="00FC3CBE">
        <w:rPr>
          <w:sz w:val="24"/>
          <w:szCs w:val="24"/>
          <w:highlight w:val="yellow"/>
        </w:rPr>
        <w:t>s</w:t>
      </w:r>
      <w:r w:rsidR="00226DA2" w:rsidRPr="00FC3CBE">
        <w:rPr>
          <w:sz w:val="24"/>
          <w:szCs w:val="24"/>
          <w:highlight w:val="yellow"/>
        </w:rPr>
        <w:t> </w:t>
      </w:r>
      <w:r w:rsidRPr="00FC3CBE">
        <w:rPr>
          <w:sz w:val="24"/>
          <w:szCs w:val="24"/>
          <w:highlight w:val="yellow"/>
        </w:rPr>
        <w:t>118(3),</w:t>
      </w:r>
      <w:r w:rsidRPr="00CF30B8">
        <w:rPr>
          <w:sz w:val="24"/>
          <w:szCs w:val="24"/>
        </w:rPr>
        <w:t xml:space="preserve"> which has since been described as </w:t>
      </w:r>
      <w:r w:rsidRPr="00FC3CBE">
        <w:rPr>
          <w:sz w:val="24"/>
          <w:szCs w:val="24"/>
          <w:highlight w:val="yellow"/>
        </w:rPr>
        <w:t>amounting to a tacit statutory hypothec</w:t>
      </w:r>
      <w:r w:rsidR="007C5BD3" w:rsidRPr="00CF30B8">
        <w:rPr>
          <w:sz w:val="24"/>
          <w:szCs w:val="24"/>
        </w:rPr>
        <w:t>. . . .</w:t>
      </w:r>
      <w:r w:rsidRPr="00CF30B8">
        <w:rPr>
          <w:sz w:val="24"/>
          <w:szCs w:val="24"/>
        </w:rPr>
        <w:t>’</w:t>
      </w:r>
      <w:r w:rsidR="00FB2BB3" w:rsidRPr="00CF30B8">
        <w:rPr>
          <w:rStyle w:val="FootnoteReference"/>
          <w:sz w:val="24"/>
          <w:szCs w:val="24"/>
        </w:rPr>
        <w:footnoteReference w:id="4"/>
      </w:r>
    </w:p>
    <w:p w:rsidR="00082A59" w:rsidRPr="00CF30B8" w:rsidRDefault="00082A59" w:rsidP="00082A59">
      <w:pPr>
        <w:pStyle w:val="Quote"/>
        <w:spacing w:before="0" w:after="0"/>
        <w:rPr>
          <w:sz w:val="24"/>
          <w:szCs w:val="24"/>
        </w:rPr>
      </w:pPr>
    </w:p>
    <w:p w:rsidR="00C00599" w:rsidRPr="00CF30B8" w:rsidRDefault="00B75983" w:rsidP="00B75983">
      <w:pPr>
        <w:pStyle w:val="Sectionnumbering"/>
        <w:numPr>
          <w:ilvl w:val="0"/>
          <w:numId w:val="0"/>
        </w:numPr>
        <w:spacing w:before="0" w:after="0"/>
        <w:rPr>
          <w:szCs w:val="24"/>
        </w:rPr>
      </w:pPr>
      <w:r w:rsidRPr="00CF30B8">
        <w:rPr>
          <w:szCs w:val="24"/>
        </w:rPr>
        <w:t>[9]</w:t>
      </w:r>
      <w:r w:rsidRPr="00CF30B8">
        <w:rPr>
          <w:szCs w:val="24"/>
        </w:rPr>
        <w:tab/>
      </w:r>
      <w:r w:rsidR="00FB2BB3" w:rsidRPr="00FC3CBE">
        <w:rPr>
          <w:szCs w:val="24"/>
          <w:highlight w:val="yellow"/>
        </w:rPr>
        <w:t>T</w:t>
      </w:r>
      <w:r w:rsidR="00A76517" w:rsidRPr="00FC3CBE">
        <w:rPr>
          <w:szCs w:val="24"/>
          <w:highlight w:val="yellow"/>
        </w:rPr>
        <w:t>his court</w:t>
      </w:r>
      <w:r w:rsidR="00A76517" w:rsidRPr="00CF30B8">
        <w:rPr>
          <w:szCs w:val="24"/>
        </w:rPr>
        <w:t xml:space="preserve"> </w:t>
      </w:r>
      <w:r w:rsidR="007C5BD3" w:rsidRPr="00CF30B8">
        <w:rPr>
          <w:szCs w:val="24"/>
        </w:rPr>
        <w:t xml:space="preserve">has </w:t>
      </w:r>
      <w:r w:rsidR="00FB2BB3" w:rsidRPr="00CF30B8">
        <w:rPr>
          <w:szCs w:val="24"/>
        </w:rPr>
        <w:t xml:space="preserve">also </w:t>
      </w:r>
      <w:r w:rsidR="002343C0" w:rsidRPr="00CF30B8">
        <w:rPr>
          <w:szCs w:val="24"/>
        </w:rPr>
        <w:t>described the princip</w:t>
      </w:r>
      <w:r w:rsidR="002B3377" w:rsidRPr="00CF30B8">
        <w:rPr>
          <w:szCs w:val="24"/>
        </w:rPr>
        <w:t>al</w:t>
      </w:r>
      <w:r w:rsidR="002343C0" w:rsidRPr="00CF30B8">
        <w:rPr>
          <w:szCs w:val="24"/>
        </w:rPr>
        <w:t xml:space="preserve"> elements of s</w:t>
      </w:r>
      <w:r w:rsidR="004F2405" w:rsidRPr="00CF30B8">
        <w:rPr>
          <w:szCs w:val="24"/>
        </w:rPr>
        <w:t> </w:t>
      </w:r>
      <w:r w:rsidR="002343C0" w:rsidRPr="00CF30B8">
        <w:rPr>
          <w:szCs w:val="24"/>
        </w:rPr>
        <w:t>118 as ‘</w:t>
      </w:r>
      <w:r w:rsidR="002343C0" w:rsidRPr="00FC3CBE">
        <w:rPr>
          <w:szCs w:val="24"/>
          <w:highlight w:val="yellow"/>
        </w:rPr>
        <w:t>an embargo provision with a time limit</w:t>
      </w:r>
      <w:r w:rsidR="002343C0" w:rsidRPr="00CF30B8">
        <w:rPr>
          <w:szCs w:val="24"/>
        </w:rPr>
        <w:t xml:space="preserve"> (s</w:t>
      </w:r>
      <w:r w:rsidR="004F2405" w:rsidRPr="00CF30B8">
        <w:rPr>
          <w:szCs w:val="24"/>
        </w:rPr>
        <w:t> </w:t>
      </w:r>
      <w:r w:rsidR="002343C0" w:rsidRPr="00CF30B8">
        <w:rPr>
          <w:szCs w:val="24"/>
        </w:rPr>
        <w:t>118(1))</w:t>
      </w:r>
      <w:r w:rsidR="00B04F2B" w:rsidRPr="00CF30B8">
        <w:rPr>
          <w:szCs w:val="24"/>
        </w:rPr>
        <w:t>’ and</w:t>
      </w:r>
      <w:r w:rsidR="002343C0" w:rsidRPr="00CF30B8">
        <w:rPr>
          <w:szCs w:val="24"/>
        </w:rPr>
        <w:t xml:space="preserve"> </w:t>
      </w:r>
      <w:r w:rsidR="00B04F2B" w:rsidRPr="00CF30B8">
        <w:rPr>
          <w:szCs w:val="24"/>
        </w:rPr>
        <w:t>‘</w:t>
      </w:r>
      <w:r w:rsidR="002343C0" w:rsidRPr="00FC3CBE">
        <w:rPr>
          <w:szCs w:val="24"/>
          <w:highlight w:val="yellow"/>
        </w:rPr>
        <w:t>a security provision without a time limit (s</w:t>
      </w:r>
      <w:r w:rsidR="004F2405" w:rsidRPr="00FC3CBE">
        <w:rPr>
          <w:szCs w:val="24"/>
          <w:highlight w:val="yellow"/>
        </w:rPr>
        <w:t> </w:t>
      </w:r>
      <w:r w:rsidR="002343C0" w:rsidRPr="00FC3CBE">
        <w:rPr>
          <w:szCs w:val="24"/>
          <w:highlight w:val="yellow"/>
        </w:rPr>
        <w:t>118(3))</w:t>
      </w:r>
      <w:r w:rsidR="002343C0" w:rsidRPr="00CF30B8">
        <w:rPr>
          <w:szCs w:val="24"/>
        </w:rPr>
        <w:t>’</w:t>
      </w:r>
      <w:r w:rsidR="009462AF" w:rsidRPr="00CF30B8">
        <w:rPr>
          <w:szCs w:val="24"/>
        </w:rPr>
        <w:t>.</w:t>
      </w:r>
      <w:r w:rsidR="00B04F2B" w:rsidRPr="00CF30B8">
        <w:rPr>
          <w:rStyle w:val="FootnoteReference"/>
          <w:szCs w:val="24"/>
        </w:rPr>
        <w:footnoteReference w:id="5"/>
      </w:r>
      <w:r w:rsidR="009462AF" w:rsidRPr="00CF30B8">
        <w:rPr>
          <w:szCs w:val="24"/>
        </w:rPr>
        <w:t xml:space="preserve"> </w:t>
      </w:r>
      <w:r w:rsidR="00A711C6" w:rsidRPr="00CF30B8">
        <w:rPr>
          <w:szCs w:val="24"/>
        </w:rPr>
        <w:t xml:space="preserve">It held that </w:t>
      </w:r>
      <w:r w:rsidR="00B13D79" w:rsidRPr="00CF30B8">
        <w:rPr>
          <w:szCs w:val="24"/>
        </w:rPr>
        <w:t xml:space="preserve">the effect </w:t>
      </w:r>
      <w:r w:rsidR="00C26375" w:rsidRPr="00CF30B8">
        <w:rPr>
          <w:szCs w:val="24"/>
        </w:rPr>
        <w:t>of s</w:t>
      </w:r>
      <w:r w:rsidR="00192D09" w:rsidRPr="00CF30B8">
        <w:rPr>
          <w:szCs w:val="24"/>
        </w:rPr>
        <w:t> </w:t>
      </w:r>
      <w:r w:rsidR="00C26375" w:rsidRPr="00CF30B8">
        <w:rPr>
          <w:szCs w:val="24"/>
        </w:rPr>
        <w:t>118(</w:t>
      </w:r>
      <w:r w:rsidR="00B13D79" w:rsidRPr="00CF30B8">
        <w:rPr>
          <w:szCs w:val="24"/>
        </w:rPr>
        <w:t xml:space="preserve">3) is </w:t>
      </w:r>
      <w:r w:rsidR="002343C0" w:rsidRPr="00CF30B8">
        <w:rPr>
          <w:szCs w:val="24"/>
        </w:rPr>
        <w:t>to create a security for payment of outstanding municipal</w:t>
      </w:r>
      <w:r w:rsidR="00951D6E" w:rsidRPr="00CF30B8">
        <w:rPr>
          <w:szCs w:val="24"/>
        </w:rPr>
        <w:t xml:space="preserve"> </w:t>
      </w:r>
      <w:r w:rsidR="002343C0" w:rsidRPr="00CF30B8">
        <w:rPr>
          <w:szCs w:val="24"/>
        </w:rPr>
        <w:t>debts</w:t>
      </w:r>
      <w:r w:rsidR="004F2405" w:rsidRPr="00CF30B8">
        <w:rPr>
          <w:szCs w:val="24"/>
        </w:rPr>
        <w:t xml:space="preserve"> in favour of the municipality</w:t>
      </w:r>
      <w:r w:rsidR="00C26375" w:rsidRPr="00CF30B8">
        <w:rPr>
          <w:szCs w:val="24"/>
        </w:rPr>
        <w:t>.</w:t>
      </w:r>
      <w:r w:rsidR="00A711C6" w:rsidRPr="00CF30B8">
        <w:rPr>
          <w:rStyle w:val="FootnoteReference"/>
          <w:szCs w:val="24"/>
        </w:rPr>
        <w:footnoteReference w:id="6"/>
      </w:r>
      <w:r w:rsidR="00C26375" w:rsidRPr="00CF30B8">
        <w:rPr>
          <w:szCs w:val="24"/>
        </w:rPr>
        <w:t xml:space="preserve"> </w:t>
      </w:r>
      <w:r w:rsidR="00A711C6" w:rsidRPr="00CF30B8">
        <w:rPr>
          <w:szCs w:val="24"/>
        </w:rPr>
        <w:t>As to the extent of the outstanding municipal debts,</w:t>
      </w:r>
      <w:r w:rsidR="00EA5DBE" w:rsidRPr="00CF30B8">
        <w:rPr>
          <w:szCs w:val="24"/>
        </w:rPr>
        <w:t xml:space="preserve"> the following </w:t>
      </w:r>
      <w:r w:rsidR="00A711C6" w:rsidRPr="00CF30B8">
        <w:rPr>
          <w:szCs w:val="24"/>
        </w:rPr>
        <w:t xml:space="preserve">was said in </w:t>
      </w:r>
      <w:r w:rsidR="00A711C6" w:rsidRPr="00CF30B8">
        <w:rPr>
          <w:i/>
          <w:szCs w:val="24"/>
        </w:rPr>
        <w:t>BOE Bank</w:t>
      </w:r>
      <w:r w:rsidR="00C00599" w:rsidRPr="00CF30B8">
        <w:rPr>
          <w:szCs w:val="24"/>
        </w:rPr>
        <w:t>:</w:t>
      </w:r>
      <w:r w:rsidR="00226DA2" w:rsidRPr="00CF30B8">
        <w:rPr>
          <w:szCs w:val="24"/>
        </w:rPr>
        <w:t xml:space="preserve"> </w:t>
      </w:r>
    </w:p>
    <w:p w:rsidR="007211CC" w:rsidRPr="00CF30B8" w:rsidRDefault="007211CC" w:rsidP="00082A59">
      <w:pPr>
        <w:pStyle w:val="Quote"/>
        <w:spacing w:before="0" w:after="0"/>
        <w:rPr>
          <w:sz w:val="24"/>
          <w:szCs w:val="24"/>
        </w:rPr>
      </w:pPr>
    </w:p>
    <w:p w:rsidR="00C00599" w:rsidRPr="00CF30B8" w:rsidRDefault="00C00599" w:rsidP="007211CC">
      <w:pPr>
        <w:pStyle w:val="Quote"/>
        <w:spacing w:before="0" w:after="0" w:line="240" w:lineRule="auto"/>
        <w:ind w:left="720"/>
        <w:rPr>
          <w:sz w:val="24"/>
          <w:szCs w:val="24"/>
        </w:rPr>
      </w:pPr>
      <w:r w:rsidRPr="00CF30B8">
        <w:rPr>
          <w:sz w:val="24"/>
          <w:szCs w:val="24"/>
        </w:rPr>
        <w:t>‘. . . For purposes of s</w:t>
      </w:r>
      <w:r w:rsidR="00192D09" w:rsidRPr="00CF30B8">
        <w:rPr>
          <w:sz w:val="24"/>
          <w:szCs w:val="24"/>
        </w:rPr>
        <w:t> </w:t>
      </w:r>
      <w:r w:rsidRPr="00CF30B8">
        <w:rPr>
          <w:sz w:val="24"/>
          <w:szCs w:val="24"/>
        </w:rPr>
        <w:t>118(3) it therefore does not matter when the component parts of the secured debt became due. The amounts of all debts arising from the stipulated causes are added up to become one composite amount secured by a single hypothec which ranks above all mortgage bonds over the property.’</w:t>
      </w:r>
      <w:r w:rsidRPr="00CF30B8">
        <w:rPr>
          <w:rStyle w:val="FootnoteReference"/>
          <w:sz w:val="24"/>
          <w:szCs w:val="24"/>
        </w:rPr>
        <w:footnoteReference w:id="7"/>
      </w:r>
      <w:r w:rsidRPr="00CF30B8">
        <w:rPr>
          <w:sz w:val="24"/>
          <w:szCs w:val="24"/>
        </w:rPr>
        <w:t xml:space="preserve"> </w:t>
      </w:r>
    </w:p>
    <w:p w:rsidR="007211CC" w:rsidRPr="00CF30B8" w:rsidRDefault="007211CC" w:rsidP="00B75983">
      <w:pPr>
        <w:pStyle w:val="Quote"/>
        <w:spacing w:before="0" w:after="0"/>
        <w:rPr>
          <w:sz w:val="24"/>
          <w:szCs w:val="24"/>
        </w:rPr>
      </w:pPr>
    </w:p>
    <w:p w:rsidR="00B75983" w:rsidRDefault="00C00599" w:rsidP="00B75983">
      <w:pPr>
        <w:pStyle w:val="Quote"/>
        <w:spacing w:before="0" w:after="0"/>
        <w:rPr>
          <w:sz w:val="24"/>
          <w:szCs w:val="24"/>
        </w:rPr>
      </w:pPr>
      <w:r w:rsidRPr="00CF30B8">
        <w:rPr>
          <w:sz w:val="24"/>
          <w:szCs w:val="24"/>
        </w:rPr>
        <w:t xml:space="preserve">It follows that </w:t>
      </w:r>
      <w:r w:rsidRPr="00970337">
        <w:rPr>
          <w:sz w:val="24"/>
          <w:szCs w:val="24"/>
          <w:highlight w:val="yellow"/>
        </w:rPr>
        <w:t>in the present matter the historical debt was a charge upon the property, as was the amount paid for purposes of obtaining the clearance certificate</w:t>
      </w:r>
      <w:r w:rsidRPr="00CF30B8">
        <w:rPr>
          <w:sz w:val="24"/>
          <w:szCs w:val="24"/>
        </w:rPr>
        <w:t>.</w:t>
      </w:r>
      <w:r w:rsidRPr="00CF30B8">
        <w:rPr>
          <w:rStyle w:val="FootnoteReference"/>
          <w:sz w:val="24"/>
          <w:szCs w:val="24"/>
        </w:rPr>
        <w:footnoteReference w:id="8"/>
      </w:r>
    </w:p>
    <w:p w:rsidR="00067CE7" w:rsidRPr="00CF30B8" w:rsidRDefault="00067CE7" w:rsidP="00B75983">
      <w:pPr>
        <w:pStyle w:val="Quote"/>
        <w:spacing w:before="0" w:after="0"/>
        <w:rPr>
          <w:sz w:val="24"/>
          <w:szCs w:val="24"/>
        </w:rPr>
      </w:pPr>
    </w:p>
    <w:p w:rsidR="001E2D56" w:rsidRPr="00CF30B8" w:rsidRDefault="00B75983" w:rsidP="00B75983">
      <w:pPr>
        <w:pStyle w:val="Quote"/>
        <w:spacing w:before="0" w:after="0"/>
        <w:rPr>
          <w:sz w:val="24"/>
          <w:szCs w:val="24"/>
        </w:rPr>
      </w:pPr>
      <w:r w:rsidRPr="00CF30B8">
        <w:rPr>
          <w:sz w:val="24"/>
          <w:szCs w:val="24"/>
        </w:rPr>
        <w:t>[10]</w:t>
      </w:r>
      <w:r w:rsidRPr="00CF30B8">
        <w:rPr>
          <w:sz w:val="24"/>
          <w:szCs w:val="24"/>
        </w:rPr>
        <w:tab/>
      </w:r>
      <w:r w:rsidR="00230AF0" w:rsidRPr="00CF30B8">
        <w:rPr>
          <w:sz w:val="24"/>
          <w:szCs w:val="24"/>
        </w:rPr>
        <w:t>The court below observed that security in the form of a tacit statutory hypothec is a limited real right (as opposed to a personal right) in the property of another that secures an obligation. ‘Generally speaking’, it said, ‘there is no reason, whilst the principal debt is still outstanding, why transfer in the normal course of business should terminate this right.’</w:t>
      </w:r>
      <w:r w:rsidR="00230AF0" w:rsidRPr="00CF30B8">
        <w:rPr>
          <w:rStyle w:val="FootnoteReference"/>
          <w:sz w:val="24"/>
          <w:szCs w:val="24"/>
        </w:rPr>
        <w:footnoteReference w:id="9"/>
      </w:r>
      <w:r w:rsidR="00BD6507" w:rsidRPr="00CF30B8">
        <w:rPr>
          <w:sz w:val="24"/>
          <w:szCs w:val="24"/>
        </w:rPr>
        <w:t xml:space="preserve"> </w:t>
      </w:r>
      <w:r w:rsidR="00A87E73" w:rsidRPr="00CF30B8">
        <w:rPr>
          <w:sz w:val="24"/>
          <w:szCs w:val="24"/>
        </w:rPr>
        <w:t xml:space="preserve">And, quoting </w:t>
      </w:r>
      <w:proofErr w:type="spellStart"/>
      <w:r w:rsidR="00A87E73" w:rsidRPr="00CF30B8">
        <w:rPr>
          <w:sz w:val="24"/>
          <w:szCs w:val="24"/>
        </w:rPr>
        <w:t>Voet</w:t>
      </w:r>
      <w:proofErr w:type="spellEnd"/>
      <w:r w:rsidR="00A87E73" w:rsidRPr="00CF30B8">
        <w:rPr>
          <w:sz w:val="24"/>
          <w:szCs w:val="24"/>
        </w:rPr>
        <w:t xml:space="preserve"> 20.1.13</w:t>
      </w:r>
      <w:r w:rsidR="00134663" w:rsidRPr="00CF30B8">
        <w:rPr>
          <w:sz w:val="24"/>
          <w:szCs w:val="24"/>
        </w:rPr>
        <w:t>,</w:t>
      </w:r>
      <w:r w:rsidR="00A87E73" w:rsidRPr="00CF30B8">
        <w:rPr>
          <w:sz w:val="24"/>
          <w:szCs w:val="24"/>
        </w:rPr>
        <w:t xml:space="preserve"> the court said that ‘</w:t>
      </w:r>
      <w:proofErr w:type="spellStart"/>
      <w:r w:rsidR="00A87E73" w:rsidRPr="00CF30B8">
        <w:rPr>
          <w:sz w:val="24"/>
          <w:szCs w:val="24"/>
        </w:rPr>
        <w:t>immovables</w:t>
      </w:r>
      <w:proofErr w:type="spellEnd"/>
      <w:r w:rsidR="00A87E73" w:rsidRPr="00CF30B8">
        <w:rPr>
          <w:sz w:val="24"/>
          <w:szCs w:val="24"/>
        </w:rPr>
        <w:t xml:space="preserve"> subject to a special hypothec pass subject to their burden, whether they have been transferred by onerous or lucrative title to another and whether that other is aware or unaware of the mortgage bond’</w:t>
      </w:r>
      <w:r w:rsidR="00B00D52" w:rsidRPr="00CF30B8">
        <w:rPr>
          <w:rStyle w:val="FootnoteReference"/>
          <w:sz w:val="24"/>
          <w:szCs w:val="24"/>
        </w:rPr>
        <w:footnoteReference w:id="10"/>
      </w:r>
      <w:r w:rsidR="00A87E73" w:rsidRPr="00CF30B8">
        <w:rPr>
          <w:sz w:val="24"/>
          <w:szCs w:val="24"/>
        </w:rPr>
        <w:t>. However,</w:t>
      </w:r>
      <w:r w:rsidR="00BD6507" w:rsidRPr="00CF30B8">
        <w:rPr>
          <w:sz w:val="24"/>
          <w:szCs w:val="24"/>
        </w:rPr>
        <w:t xml:space="preserve"> after</w:t>
      </w:r>
      <w:r w:rsidR="007211CC" w:rsidRPr="00CF30B8">
        <w:rPr>
          <w:sz w:val="24"/>
          <w:szCs w:val="24"/>
        </w:rPr>
        <w:t xml:space="preserve"> </w:t>
      </w:r>
      <w:r w:rsidR="00BD6507" w:rsidRPr="00CF30B8">
        <w:rPr>
          <w:sz w:val="24"/>
          <w:szCs w:val="24"/>
        </w:rPr>
        <w:t xml:space="preserve">referring to </w:t>
      </w:r>
      <w:r w:rsidR="00A87E73" w:rsidRPr="00CF30B8">
        <w:rPr>
          <w:sz w:val="24"/>
          <w:szCs w:val="24"/>
        </w:rPr>
        <w:t>an</w:t>
      </w:r>
      <w:r w:rsidRPr="00CF30B8">
        <w:rPr>
          <w:sz w:val="24"/>
          <w:szCs w:val="24"/>
        </w:rPr>
        <w:t xml:space="preserve"> </w:t>
      </w:r>
      <w:r w:rsidR="00A87E73" w:rsidRPr="00CF30B8">
        <w:rPr>
          <w:sz w:val="24"/>
          <w:szCs w:val="24"/>
        </w:rPr>
        <w:t xml:space="preserve">exception to this ‘rule’ contained in </w:t>
      </w:r>
      <w:proofErr w:type="spellStart"/>
      <w:r w:rsidR="00BD6507" w:rsidRPr="00CF30B8">
        <w:rPr>
          <w:sz w:val="24"/>
          <w:szCs w:val="24"/>
          <w:u w:val="single"/>
        </w:rPr>
        <w:t>Voet</w:t>
      </w:r>
      <w:proofErr w:type="spellEnd"/>
      <w:r w:rsidR="00BD6507" w:rsidRPr="00CF30B8">
        <w:rPr>
          <w:sz w:val="24"/>
          <w:szCs w:val="24"/>
        </w:rPr>
        <w:t xml:space="preserve"> 20.1.13</w:t>
      </w:r>
      <w:r w:rsidR="00BD6507" w:rsidRPr="00CF30B8">
        <w:rPr>
          <w:rStyle w:val="FootnoteReference"/>
          <w:sz w:val="24"/>
          <w:szCs w:val="24"/>
        </w:rPr>
        <w:footnoteReference w:id="11"/>
      </w:r>
      <w:r w:rsidR="00BD6507" w:rsidRPr="00CF30B8">
        <w:rPr>
          <w:sz w:val="24"/>
          <w:szCs w:val="24"/>
        </w:rPr>
        <w:t xml:space="preserve">, </w:t>
      </w:r>
      <w:r w:rsidR="00A87E73" w:rsidRPr="00CF30B8">
        <w:rPr>
          <w:sz w:val="24"/>
          <w:szCs w:val="24"/>
        </w:rPr>
        <w:t xml:space="preserve">it </w:t>
      </w:r>
      <w:r w:rsidR="001E2D56" w:rsidRPr="00CF30B8">
        <w:rPr>
          <w:sz w:val="24"/>
          <w:szCs w:val="24"/>
        </w:rPr>
        <w:t>concluded thus:</w:t>
      </w:r>
    </w:p>
    <w:p w:rsidR="007211CC" w:rsidRPr="00CF30B8" w:rsidRDefault="007211CC" w:rsidP="00B75983">
      <w:pPr>
        <w:pStyle w:val="Quote"/>
        <w:spacing w:before="0" w:after="0"/>
        <w:rPr>
          <w:sz w:val="24"/>
          <w:szCs w:val="24"/>
        </w:rPr>
      </w:pPr>
    </w:p>
    <w:p w:rsidR="00B75983" w:rsidRPr="00CF30B8" w:rsidRDefault="001E2D56" w:rsidP="007211CC">
      <w:pPr>
        <w:pStyle w:val="Quote"/>
        <w:spacing w:before="0" w:after="0" w:line="240" w:lineRule="auto"/>
        <w:ind w:left="720"/>
        <w:rPr>
          <w:sz w:val="24"/>
          <w:szCs w:val="24"/>
        </w:rPr>
      </w:pPr>
      <w:r w:rsidRPr="00CF30B8">
        <w:rPr>
          <w:sz w:val="24"/>
          <w:szCs w:val="24"/>
        </w:rPr>
        <w:t>‘It therefore appears that in terms of the common law when mortgaged properties have been sold and delivered “on the petition of creditors by order of a Judge” (which is another way of referring to a sale in execution), the hypothec is extinguished and the new owner will be granted a clean title. This is, in my view, still the law today.’</w:t>
      </w:r>
      <w:r w:rsidRPr="00CF30B8">
        <w:rPr>
          <w:rStyle w:val="FootnoteReference"/>
          <w:sz w:val="24"/>
          <w:szCs w:val="24"/>
        </w:rPr>
        <w:footnoteReference w:id="12"/>
      </w:r>
      <w:r w:rsidRPr="00CF30B8">
        <w:rPr>
          <w:sz w:val="24"/>
          <w:szCs w:val="24"/>
        </w:rPr>
        <w:t xml:space="preserve"> </w:t>
      </w:r>
    </w:p>
    <w:p w:rsidR="00B75983" w:rsidRPr="00CF30B8" w:rsidRDefault="00B75983" w:rsidP="00B75983">
      <w:pPr>
        <w:pStyle w:val="Quote"/>
        <w:spacing w:before="0" w:after="0"/>
        <w:rPr>
          <w:sz w:val="24"/>
          <w:szCs w:val="24"/>
        </w:rPr>
      </w:pPr>
    </w:p>
    <w:p w:rsidR="00685AE0" w:rsidRPr="00CF30B8" w:rsidRDefault="00B75983" w:rsidP="00B75983">
      <w:pPr>
        <w:pStyle w:val="Quote"/>
        <w:spacing w:before="0" w:after="0"/>
        <w:rPr>
          <w:sz w:val="24"/>
          <w:szCs w:val="24"/>
        </w:rPr>
      </w:pPr>
      <w:r w:rsidRPr="00CF30B8">
        <w:rPr>
          <w:sz w:val="24"/>
          <w:szCs w:val="24"/>
        </w:rPr>
        <w:t>[11]</w:t>
      </w:r>
      <w:r w:rsidRPr="00CF30B8">
        <w:rPr>
          <w:sz w:val="24"/>
          <w:szCs w:val="24"/>
        </w:rPr>
        <w:tab/>
      </w:r>
      <w:r w:rsidR="00235F21" w:rsidRPr="00CF30B8">
        <w:rPr>
          <w:sz w:val="24"/>
          <w:szCs w:val="24"/>
        </w:rPr>
        <w:t xml:space="preserve">With regard to the </w:t>
      </w:r>
      <w:r w:rsidR="00235F21" w:rsidRPr="00EF05CC">
        <w:rPr>
          <w:sz w:val="24"/>
          <w:szCs w:val="24"/>
          <w:highlight w:val="yellow"/>
        </w:rPr>
        <w:t>application of the exception to th</w:t>
      </w:r>
      <w:r w:rsidR="00E01E0B" w:rsidRPr="00EF05CC">
        <w:rPr>
          <w:sz w:val="24"/>
          <w:szCs w:val="24"/>
          <w:highlight w:val="yellow"/>
        </w:rPr>
        <w:t>e present matter</w:t>
      </w:r>
      <w:r w:rsidR="00E01E0B" w:rsidRPr="00CF30B8">
        <w:rPr>
          <w:sz w:val="24"/>
          <w:szCs w:val="24"/>
        </w:rPr>
        <w:t xml:space="preserve"> the court a quo</w:t>
      </w:r>
      <w:r w:rsidR="00235F21" w:rsidRPr="00CF30B8">
        <w:rPr>
          <w:sz w:val="24"/>
          <w:szCs w:val="24"/>
        </w:rPr>
        <w:t xml:space="preserve"> </w:t>
      </w:r>
      <w:r w:rsidR="00A32840" w:rsidRPr="00CF30B8">
        <w:rPr>
          <w:sz w:val="24"/>
          <w:szCs w:val="24"/>
        </w:rPr>
        <w:t>reasoned</w:t>
      </w:r>
      <w:r w:rsidR="00BD6507" w:rsidRPr="00CF30B8">
        <w:rPr>
          <w:sz w:val="24"/>
          <w:szCs w:val="24"/>
        </w:rPr>
        <w:t xml:space="preserve"> that</w:t>
      </w:r>
      <w:r w:rsidR="00A32840" w:rsidRPr="00CF30B8">
        <w:rPr>
          <w:sz w:val="24"/>
          <w:szCs w:val="24"/>
        </w:rPr>
        <w:t xml:space="preserve"> it must be accepted that the appellant was aware of the sale in execution prior to transfer</w:t>
      </w:r>
      <w:r w:rsidR="00A87E73" w:rsidRPr="00CF30B8">
        <w:rPr>
          <w:sz w:val="24"/>
          <w:szCs w:val="24"/>
        </w:rPr>
        <w:t>,</w:t>
      </w:r>
      <w:r w:rsidR="00A32840" w:rsidRPr="00CF30B8">
        <w:rPr>
          <w:sz w:val="24"/>
          <w:szCs w:val="24"/>
        </w:rPr>
        <w:t xml:space="preserve"> as it </w:t>
      </w:r>
      <w:r w:rsidR="00A87E73" w:rsidRPr="00CF30B8">
        <w:rPr>
          <w:sz w:val="24"/>
          <w:szCs w:val="24"/>
        </w:rPr>
        <w:t>h</w:t>
      </w:r>
      <w:r w:rsidR="00A32840" w:rsidRPr="00CF30B8">
        <w:rPr>
          <w:sz w:val="24"/>
          <w:szCs w:val="24"/>
        </w:rPr>
        <w:t>a</w:t>
      </w:r>
      <w:r w:rsidR="00A87E73" w:rsidRPr="00CF30B8">
        <w:rPr>
          <w:sz w:val="24"/>
          <w:szCs w:val="24"/>
        </w:rPr>
        <w:t>d been</w:t>
      </w:r>
      <w:r w:rsidR="00A32840" w:rsidRPr="00CF30B8">
        <w:rPr>
          <w:sz w:val="24"/>
          <w:szCs w:val="24"/>
        </w:rPr>
        <w:t xml:space="preserve"> requested to issue a certificate </w:t>
      </w:r>
      <w:r w:rsidR="00151AF6" w:rsidRPr="00CF30B8">
        <w:rPr>
          <w:sz w:val="24"/>
          <w:szCs w:val="24"/>
        </w:rPr>
        <w:t>in terms of s</w:t>
      </w:r>
      <w:r w:rsidR="00192D09" w:rsidRPr="00CF30B8">
        <w:rPr>
          <w:sz w:val="24"/>
          <w:szCs w:val="24"/>
        </w:rPr>
        <w:t> </w:t>
      </w:r>
      <w:r w:rsidR="00151AF6" w:rsidRPr="00CF30B8">
        <w:rPr>
          <w:sz w:val="24"/>
          <w:szCs w:val="24"/>
        </w:rPr>
        <w:t>118(1) of the Act and</w:t>
      </w:r>
      <w:r w:rsidR="00A32840" w:rsidRPr="00CF30B8">
        <w:rPr>
          <w:sz w:val="24"/>
          <w:szCs w:val="24"/>
        </w:rPr>
        <w:t xml:space="preserve"> that, whilst holding a statutory hypothec, it kept silent by not exercising </w:t>
      </w:r>
      <w:r w:rsidR="00151AF6" w:rsidRPr="00CF30B8">
        <w:rPr>
          <w:sz w:val="24"/>
          <w:szCs w:val="24"/>
        </w:rPr>
        <w:t xml:space="preserve">its right of preference over the proceeds of the sale of the property. </w:t>
      </w:r>
      <w:r w:rsidR="00D33AD5" w:rsidRPr="00CF30B8">
        <w:rPr>
          <w:sz w:val="24"/>
          <w:szCs w:val="24"/>
        </w:rPr>
        <w:t>I</w:t>
      </w:r>
      <w:r w:rsidR="00151AF6" w:rsidRPr="00CF30B8">
        <w:rPr>
          <w:sz w:val="24"/>
          <w:szCs w:val="24"/>
        </w:rPr>
        <w:t>n those circumstances</w:t>
      </w:r>
      <w:r w:rsidR="00D33AD5" w:rsidRPr="00CF30B8">
        <w:rPr>
          <w:sz w:val="24"/>
          <w:szCs w:val="24"/>
        </w:rPr>
        <w:t>,</w:t>
      </w:r>
      <w:r w:rsidR="00151AF6" w:rsidRPr="00CF30B8">
        <w:rPr>
          <w:sz w:val="24"/>
          <w:szCs w:val="24"/>
        </w:rPr>
        <w:t xml:space="preserve"> it should follow</w:t>
      </w:r>
      <w:r w:rsidR="00D33AD5" w:rsidRPr="00CF30B8">
        <w:rPr>
          <w:sz w:val="24"/>
          <w:szCs w:val="24"/>
        </w:rPr>
        <w:t>, so the court held,</w:t>
      </w:r>
      <w:r w:rsidR="00151AF6" w:rsidRPr="00CF30B8">
        <w:rPr>
          <w:sz w:val="24"/>
          <w:szCs w:val="24"/>
        </w:rPr>
        <w:t xml:space="preserve"> that the appellant’s statutory </w:t>
      </w:r>
      <w:r w:rsidR="00151AF6" w:rsidRPr="00CF30B8">
        <w:rPr>
          <w:sz w:val="24"/>
          <w:szCs w:val="24"/>
        </w:rPr>
        <w:lastRenderedPageBreak/>
        <w:t>hypothec ‘was extinguished by the sale in execution and subsequent transfer of the property into the name of th</w:t>
      </w:r>
      <w:r w:rsidR="00D33AD5" w:rsidRPr="00CF30B8">
        <w:rPr>
          <w:sz w:val="24"/>
          <w:szCs w:val="24"/>
        </w:rPr>
        <w:t>e</w:t>
      </w:r>
      <w:r w:rsidR="00151AF6" w:rsidRPr="00CF30B8">
        <w:rPr>
          <w:sz w:val="24"/>
          <w:szCs w:val="24"/>
        </w:rPr>
        <w:t xml:space="preserve"> [re</w:t>
      </w:r>
      <w:r w:rsidR="007418E4" w:rsidRPr="00CF30B8">
        <w:rPr>
          <w:sz w:val="24"/>
          <w:szCs w:val="24"/>
        </w:rPr>
        <w:t>s</w:t>
      </w:r>
      <w:r w:rsidR="00151AF6" w:rsidRPr="00CF30B8">
        <w:rPr>
          <w:sz w:val="24"/>
          <w:szCs w:val="24"/>
        </w:rPr>
        <w:t>pondent]’.</w:t>
      </w:r>
      <w:r w:rsidR="00035B53" w:rsidRPr="00CF30B8">
        <w:rPr>
          <w:rStyle w:val="FootnoteReference"/>
          <w:sz w:val="24"/>
          <w:szCs w:val="24"/>
        </w:rPr>
        <w:footnoteReference w:id="13"/>
      </w:r>
    </w:p>
    <w:p w:rsidR="00082A59" w:rsidRPr="00CF30B8" w:rsidRDefault="00082A59" w:rsidP="00082A59">
      <w:pPr>
        <w:pStyle w:val="Sectionnumbering"/>
        <w:numPr>
          <w:ilvl w:val="0"/>
          <w:numId w:val="0"/>
        </w:numPr>
        <w:spacing w:before="0" w:after="0"/>
        <w:rPr>
          <w:szCs w:val="24"/>
        </w:rPr>
      </w:pPr>
    </w:p>
    <w:p w:rsidR="00331E29" w:rsidRPr="00CF30B8" w:rsidRDefault="00B75983" w:rsidP="00B75983">
      <w:pPr>
        <w:pStyle w:val="Sectionnumbering"/>
        <w:numPr>
          <w:ilvl w:val="0"/>
          <w:numId w:val="0"/>
        </w:numPr>
        <w:spacing w:before="0" w:after="0"/>
        <w:rPr>
          <w:szCs w:val="24"/>
        </w:rPr>
      </w:pPr>
      <w:r w:rsidRPr="00CF30B8">
        <w:rPr>
          <w:szCs w:val="24"/>
        </w:rPr>
        <w:t>[12]</w:t>
      </w:r>
      <w:r w:rsidRPr="00CF30B8">
        <w:rPr>
          <w:szCs w:val="24"/>
        </w:rPr>
        <w:tab/>
      </w:r>
      <w:r w:rsidR="00685AE0" w:rsidRPr="00CF30B8">
        <w:rPr>
          <w:szCs w:val="24"/>
        </w:rPr>
        <w:t xml:space="preserve">In holding that the </w:t>
      </w:r>
      <w:r w:rsidR="00235F21" w:rsidRPr="00CF30B8">
        <w:rPr>
          <w:szCs w:val="24"/>
        </w:rPr>
        <w:t>appellant’s security over the property (</w:t>
      </w:r>
      <w:r w:rsidR="00685AE0" w:rsidRPr="00CF30B8">
        <w:rPr>
          <w:szCs w:val="24"/>
        </w:rPr>
        <w:t>hypothec</w:t>
      </w:r>
      <w:r w:rsidR="00235F21" w:rsidRPr="00CF30B8">
        <w:rPr>
          <w:szCs w:val="24"/>
        </w:rPr>
        <w:t>)</w:t>
      </w:r>
      <w:r w:rsidR="00685AE0" w:rsidRPr="00CF30B8">
        <w:rPr>
          <w:szCs w:val="24"/>
        </w:rPr>
        <w:t xml:space="preserve"> had been extinguished by the sale in the execution and subsequent transfer</w:t>
      </w:r>
      <w:r w:rsidR="00E01E0B" w:rsidRPr="00CF30B8">
        <w:rPr>
          <w:szCs w:val="24"/>
        </w:rPr>
        <w:t xml:space="preserve"> of the property</w:t>
      </w:r>
      <w:r w:rsidR="00FE19A0" w:rsidRPr="00CF30B8">
        <w:rPr>
          <w:szCs w:val="24"/>
        </w:rPr>
        <w:t>,</w:t>
      </w:r>
      <w:r w:rsidR="00E01E0B" w:rsidRPr="00CF30B8">
        <w:rPr>
          <w:szCs w:val="24"/>
        </w:rPr>
        <w:t xml:space="preserve"> the court a quo</w:t>
      </w:r>
      <w:r w:rsidR="00685AE0" w:rsidRPr="00CF30B8">
        <w:rPr>
          <w:szCs w:val="24"/>
        </w:rPr>
        <w:t xml:space="preserve"> </w:t>
      </w:r>
      <w:r w:rsidR="00685AE0" w:rsidRPr="00970337">
        <w:rPr>
          <w:szCs w:val="24"/>
          <w:highlight w:val="yellow"/>
        </w:rPr>
        <w:t>distinguished the present m</w:t>
      </w:r>
      <w:r w:rsidR="00235F21" w:rsidRPr="00970337">
        <w:rPr>
          <w:szCs w:val="24"/>
          <w:highlight w:val="yellow"/>
        </w:rPr>
        <w:t>atter from this court’s decision</w:t>
      </w:r>
      <w:r w:rsidR="00685AE0" w:rsidRPr="00970337">
        <w:rPr>
          <w:szCs w:val="24"/>
          <w:highlight w:val="yellow"/>
        </w:rPr>
        <w:t xml:space="preserve"> in</w:t>
      </w:r>
      <w:r w:rsidR="00230AF0" w:rsidRPr="00970337">
        <w:rPr>
          <w:szCs w:val="24"/>
          <w:highlight w:val="yellow"/>
        </w:rPr>
        <w:t xml:space="preserve"> </w:t>
      </w:r>
      <w:r w:rsidR="00AC2650" w:rsidRPr="00970337">
        <w:rPr>
          <w:i/>
          <w:szCs w:val="24"/>
          <w:highlight w:val="yellow"/>
        </w:rPr>
        <w:t xml:space="preserve">City of Tshwane Metropolitan Municipality v </w:t>
      </w:r>
      <w:proofErr w:type="spellStart"/>
      <w:r w:rsidR="00AC2650" w:rsidRPr="00970337">
        <w:rPr>
          <w:i/>
          <w:szCs w:val="24"/>
          <w:highlight w:val="yellow"/>
        </w:rPr>
        <w:t>Mathabathe</w:t>
      </w:r>
      <w:proofErr w:type="spellEnd"/>
      <w:r w:rsidR="00AC2650" w:rsidRPr="00970337">
        <w:rPr>
          <w:i/>
          <w:szCs w:val="24"/>
          <w:highlight w:val="yellow"/>
        </w:rPr>
        <w:t xml:space="preserve"> </w:t>
      </w:r>
      <w:r w:rsidR="00C0107B" w:rsidRPr="00970337">
        <w:rPr>
          <w:i/>
          <w:szCs w:val="24"/>
          <w:highlight w:val="yellow"/>
        </w:rPr>
        <w:t>&amp;</w:t>
      </w:r>
      <w:r w:rsidR="00A61151" w:rsidRPr="00970337">
        <w:rPr>
          <w:i/>
          <w:szCs w:val="24"/>
          <w:highlight w:val="yellow"/>
        </w:rPr>
        <w:t xml:space="preserve"> </w:t>
      </w:r>
      <w:r w:rsidR="00C0107B" w:rsidRPr="00970337">
        <w:rPr>
          <w:i/>
          <w:szCs w:val="24"/>
          <w:highlight w:val="yellow"/>
        </w:rPr>
        <w:t>a</w:t>
      </w:r>
      <w:r w:rsidR="00AC2650" w:rsidRPr="00970337">
        <w:rPr>
          <w:i/>
          <w:szCs w:val="24"/>
          <w:highlight w:val="yellow"/>
        </w:rPr>
        <w:t>nother</w:t>
      </w:r>
      <w:r w:rsidR="00927C8B" w:rsidRPr="00970337">
        <w:rPr>
          <w:i/>
          <w:szCs w:val="24"/>
          <w:highlight w:val="yellow"/>
        </w:rPr>
        <w:t>,</w:t>
      </w:r>
      <w:r w:rsidR="005C439D" w:rsidRPr="00CF30B8">
        <w:rPr>
          <w:rStyle w:val="FootnoteReference"/>
          <w:szCs w:val="24"/>
          <w:lang w:eastAsia="en-ZA"/>
        </w:rPr>
        <w:footnoteReference w:id="14"/>
      </w:r>
      <w:r w:rsidR="00AC2650" w:rsidRPr="00CF30B8">
        <w:rPr>
          <w:szCs w:val="24"/>
          <w:lang w:eastAsia="en-ZA"/>
        </w:rPr>
        <w:t xml:space="preserve"> </w:t>
      </w:r>
      <w:r w:rsidR="00035B53" w:rsidRPr="00CF30B8">
        <w:rPr>
          <w:szCs w:val="24"/>
          <w:lang w:eastAsia="en-ZA"/>
        </w:rPr>
        <w:t>on the basis that in that case the property was sold, ‘not at a sale in execution, but by public auction on behalf of the mortgagor’.</w:t>
      </w:r>
      <w:r w:rsidR="00035B53" w:rsidRPr="00CF30B8">
        <w:rPr>
          <w:rStyle w:val="FootnoteReference"/>
          <w:szCs w:val="24"/>
          <w:lang w:eastAsia="en-ZA"/>
        </w:rPr>
        <w:footnoteReference w:id="15"/>
      </w:r>
      <w:r w:rsidR="00FD0529" w:rsidRPr="00CF30B8">
        <w:rPr>
          <w:szCs w:val="24"/>
          <w:lang w:eastAsia="en-ZA"/>
        </w:rPr>
        <w:t xml:space="preserve"> </w:t>
      </w:r>
      <w:r w:rsidR="00FD0529" w:rsidRPr="00CF30B8">
        <w:rPr>
          <w:szCs w:val="24"/>
        </w:rPr>
        <w:t xml:space="preserve">In </w:t>
      </w:r>
      <w:proofErr w:type="spellStart"/>
      <w:r w:rsidR="00FD0529" w:rsidRPr="00CF30B8">
        <w:rPr>
          <w:i/>
          <w:szCs w:val="24"/>
        </w:rPr>
        <w:t>Mathabathe</w:t>
      </w:r>
      <w:proofErr w:type="spellEnd"/>
      <w:r w:rsidR="00FD0529" w:rsidRPr="00CF30B8">
        <w:rPr>
          <w:i/>
          <w:szCs w:val="24"/>
        </w:rPr>
        <w:t xml:space="preserve">, </w:t>
      </w:r>
      <w:r w:rsidR="00FD0529" w:rsidRPr="00CF30B8">
        <w:rPr>
          <w:szCs w:val="24"/>
        </w:rPr>
        <w:t xml:space="preserve">the property </w:t>
      </w:r>
      <w:r w:rsidR="003C6798" w:rsidRPr="00CF30B8">
        <w:rPr>
          <w:szCs w:val="24"/>
        </w:rPr>
        <w:t xml:space="preserve">was sold </w:t>
      </w:r>
      <w:r w:rsidR="00FD0529" w:rsidRPr="00CF30B8">
        <w:rPr>
          <w:szCs w:val="24"/>
        </w:rPr>
        <w:t>by public auc</w:t>
      </w:r>
      <w:r w:rsidR="003C6798" w:rsidRPr="00CF30B8">
        <w:rPr>
          <w:szCs w:val="24"/>
        </w:rPr>
        <w:t>tion at the request of the owner and by agreement between him, as mortgagor, and the mortgagee</w:t>
      </w:r>
      <w:r w:rsidR="00FD0529" w:rsidRPr="00CF30B8">
        <w:rPr>
          <w:szCs w:val="24"/>
        </w:rPr>
        <w:t>. The municipality sought an undertaking from the owner</w:t>
      </w:r>
      <w:r w:rsidR="00E01E0B" w:rsidRPr="00CF30B8">
        <w:rPr>
          <w:szCs w:val="24"/>
        </w:rPr>
        <w:t>,</w:t>
      </w:r>
      <w:r w:rsidR="00FD0529" w:rsidRPr="00CF30B8">
        <w:rPr>
          <w:szCs w:val="24"/>
        </w:rPr>
        <w:t xml:space="preserve"> or transferring attorney</w:t>
      </w:r>
      <w:r w:rsidR="00E01E0B" w:rsidRPr="00CF30B8">
        <w:rPr>
          <w:szCs w:val="24"/>
        </w:rPr>
        <w:t>,</w:t>
      </w:r>
      <w:r w:rsidR="00FD0529" w:rsidRPr="00CF30B8">
        <w:rPr>
          <w:szCs w:val="24"/>
        </w:rPr>
        <w:t xml:space="preserve"> that the historic</w:t>
      </w:r>
      <w:r w:rsidR="005A4C35" w:rsidRPr="00CF30B8">
        <w:rPr>
          <w:szCs w:val="24"/>
        </w:rPr>
        <w:t>al</w:t>
      </w:r>
      <w:r w:rsidR="0021124E" w:rsidRPr="00CF30B8">
        <w:rPr>
          <w:szCs w:val="24"/>
        </w:rPr>
        <w:t xml:space="preserve"> debt would be paid on</w:t>
      </w:r>
      <w:r w:rsidR="00FD0529" w:rsidRPr="00CF30B8">
        <w:rPr>
          <w:szCs w:val="24"/>
        </w:rPr>
        <w:t xml:space="preserve"> the date of transfer or soon thereafter. The municipality alleged that it needed the undertaking because its security over the land would be lost once transfer took place.</w:t>
      </w:r>
    </w:p>
    <w:p w:rsidR="00082A59" w:rsidRPr="00CF30B8" w:rsidRDefault="00082A59" w:rsidP="00082A59">
      <w:pPr>
        <w:pStyle w:val="Sectionnumbering"/>
        <w:numPr>
          <w:ilvl w:val="0"/>
          <w:numId w:val="0"/>
        </w:numPr>
        <w:spacing w:before="0" w:after="0"/>
        <w:rPr>
          <w:szCs w:val="24"/>
        </w:rPr>
      </w:pPr>
    </w:p>
    <w:p w:rsidR="002270CC" w:rsidRPr="00CF30B8" w:rsidRDefault="00B75983" w:rsidP="00B75983">
      <w:pPr>
        <w:pStyle w:val="Sectionnumbering"/>
        <w:numPr>
          <w:ilvl w:val="0"/>
          <w:numId w:val="0"/>
        </w:numPr>
        <w:spacing w:before="0" w:after="0"/>
        <w:rPr>
          <w:szCs w:val="24"/>
          <w:lang w:eastAsia="en-ZA"/>
        </w:rPr>
      </w:pPr>
      <w:r w:rsidRPr="00CF30B8">
        <w:rPr>
          <w:szCs w:val="24"/>
        </w:rPr>
        <w:t>[13]</w:t>
      </w:r>
      <w:r w:rsidRPr="00CF30B8">
        <w:rPr>
          <w:szCs w:val="24"/>
        </w:rPr>
        <w:tab/>
      </w:r>
      <w:r w:rsidR="000A688D" w:rsidRPr="00CF30B8">
        <w:rPr>
          <w:szCs w:val="24"/>
        </w:rPr>
        <w:t xml:space="preserve">In </w:t>
      </w:r>
      <w:proofErr w:type="spellStart"/>
      <w:r w:rsidR="000A688D" w:rsidRPr="00CF30B8">
        <w:rPr>
          <w:i/>
          <w:szCs w:val="24"/>
        </w:rPr>
        <w:t>Mathabathe</w:t>
      </w:r>
      <w:proofErr w:type="spellEnd"/>
      <w:r w:rsidR="000A688D" w:rsidRPr="00CF30B8">
        <w:rPr>
          <w:szCs w:val="24"/>
        </w:rPr>
        <w:t xml:space="preserve">, </w:t>
      </w:r>
      <w:r w:rsidR="009629C6" w:rsidRPr="00CF30B8">
        <w:rPr>
          <w:szCs w:val="24"/>
          <w:lang w:eastAsia="en-ZA"/>
        </w:rPr>
        <w:t xml:space="preserve">Ponnan JA said the following on the </w:t>
      </w:r>
      <w:r w:rsidR="00C34F79" w:rsidRPr="00CF30B8">
        <w:rPr>
          <w:szCs w:val="24"/>
          <w:lang w:eastAsia="en-ZA"/>
        </w:rPr>
        <w:t>issue</w:t>
      </w:r>
      <w:r w:rsidR="009629C6" w:rsidRPr="00CF30B8">
        <w:rPr>
          <w:szCs w:val="24"/>
          <w:lang w:eastAsia="en-ZA"/>
        </w:rPr>
        <w:t xml:space="preserve"> of the undertaking sought</w:t>
      </w:r>
      <w:r w:rsidR="002270CC" w:rsidRPr="00CF30B8">
        <w:rPr>
          <w:szCs w:val="24"/>
          <w:lang w:eastAsia="en-ZA"/>
        </w:rPr>
        <w:t xml:space="preserve"> by the municipality:</w:t>
      </w:r>
    </w:p>
    <w:p w:rsidR="007211CC" w:rsidRPr="00CF30B8" w:rsidRDefault="007211CC" w:rsidP="00082A59">
      <w:pPr>
        <w:pStyle w:val="Quote"/>
        <w:spacing w:before="0" w:after="0"/>
        <w:rPr>
          <w:sz w:val="24"/>
          <w:szCs w:val="24"/>
          <w:lang w:eastAsia="en-ZA"/>
        </w:rPr>
      </w:pPr>
    </w:p>
    <w:p w:rsidR="002270CC" w:rsidRPr="00CF30B8" w:rsidRDefault="002270CC" w:rsidP="007211CC">
      <w:pPr>
        <w:pStyle w:val="Quote"/>
        <w:spacing w:before="0" w:after="0" w:line="240" w:lineRule="auto"/>
        <w:ind w:left="720"/>
        <w:rPr>
          <w:sz w:val="24"/>
          <w:szCs w:val="24"/>
          <w:lang w:eastAsia="en-ZA"/>
        </w:rPr>
      </w:pPr>
      <w:r w:rsidRPr="00CF30B8">
        <w:rPr>
          <w:sz w:val="24"/>
          <w:szCs w:val="24"/>
          <w:lang w:eastAsia="en-ZA"/>
        </w:rPr>
        <w:t>‘</w:t>
      </w:r>
      <w:r w:rsidR="00C34F79" w:rsidRPr="00CF30B8">
        <w:rPr>
          <w:sz w:val="24"/>
          <w:szCs w:val="24"/>
        </w:rPr>
        <w:t>Unlike</w:t>
      </w:r>
      <w:r w:rsidR="00C34F79" w:rsidRPr="00CF30B8">
        <w:rPr>
          <w:sz w:val="24"/>
          <w:szCs w:val="24"/>
          <w:lang w:eastAsia="en-ZA"/>
        </w:rPr>
        <w:t xml:space="preserve"> </w:t>
      </w:r>
      <w:proofErr w:type="spellStart"/>
      <w:r w:rsidR="00C34F79" w:rsidRPr="00CF30B8">
        <w:rPr>
          <w:sz w:val="24"/>
          <w:szCs w:val="24"/>
          <w:lang w:eastAsia="en-ZA"/>
        </w:rPr>
        <w:t>ss</w:t>
      </w:r>
      <w:proofErr w:type="spellEnd"/>
      <w:r w:rsidR="00192D09" w:rsidRPr="00CF30B8">
        <w:rPr>
          <w:sz w:val="24"/>
          <w:szCs w:val="24"/>
          <w:lang w:eastAsia="en-ZA"/>
        </w:rPr>
        <w:t> </w:t>
      </w:r>
      <w:r w:rsidR="00C34F79" w:rsidRPr="00CF30B8">
        <w:rPr>
          <w:sz w:val="24"/>
          <w:szCs w:val="24"/>
          <w:lang w:eastAsia="en-ZA"/>
        </w:rPr>
        <w:t xml:space="preserve">(1), </w:t>
      </w:r>
      <w:proofErr w:type="spellStart"/>
      <w:r w:rsidR="00C34F79" w:rsidRPr="00CF30B8">
        <w:rPr>
          <w:sz w:val="24"/>
          <w:szCs w:val="24"/>
          <w:lang w:eastAsia="en-ZA"/>
        </w:rPr>
        <w:t>ss</w:t>
      </w:r>
      <w:proofErr w:type="spellEnd"/>
      <w:r w:rsidR="00925E69" w:rsidRPr="00CF30B8">
        <w:rPr>
          <w:sz w:val="24"/>
          <w:szCs w:val="24"/>
          <w:lang w:eastAsia="en-ZA"/>
        </w:rPr>
        <w:t> </w:t>
      </w:r>
      <w:r w:rsidR="00C34F79" w:rsidRPr="00CF30B8">
        <w:rPr>
          <w:sz w:val="24"/>
          <w:szCs w:val="24"/>
          <w:lang w:eastAsia="en-ZA"/>
        </w:rPr>
        <w:t xml:space="preserve">(3) </w:t>
      </w:r>
      <w:proofErr w:type="gramStart"/>
      <w:r w:rsidR="00C34F79" w:rsidRPr="00CF30B8">
        <w:rPr>
          <w:sz w:val="24"/>
          <w:szCs w:val="24"/>
          <w:lang w:eastAsia="en-ZA"/>
        </w:rPr>
        <w:t>is</w:t>
      </w:r>
      <w:proofErr w:type="gramEnd"/>
      <w:r w:rsidR="00C34F79" w:rsidRPr="00CF30B8">
        <w:rPr>
          <w:sz w:val="24"/>
          <w:szCs w:val="24"/>
          <w:lang w:eastAsia="en-ZA"/>
        </w:rPr>
        <w:t xml:space="preserve"> not an embargo provision – it self-evidently is a security provision. The Municipality failed to draw that distinction and thus confused the two distinct remedies available to it. It, moreover, was plainly wrong in its contention that “upon registration [of transfer] . . . [it] loses its rights under s</w:t>
      </w:r>
      <w:r w:rsidR="00925E69" w:rsidRPr="00CF30B8">
        <w:rPr>
          <w:sz w:val="24"/>
          <w:szCs w:val="24"/>
          <w:lang w:eastAsia="en-ZA"/>
        </w:rPr>
        <w:t> </w:t>
      </w:r>
      <w:r w:rsidR="00C34F79" w:rsidRPr="00CF30B8">
        <w:rPr>
          <w:sz w:val="24"/>
          <w:szCs w:val="24"/>
          <w:lang w:eastAsia="en-ZA"/>
        </w:rPr>
        <w:t>118(3) of the Act”. It follows that in at least those two fundamental respects the Municipality has misconstrued the import of s</w:t>
      </w:r>
      <w:r w:rsidR="00192D09" w:rsidRPr="00CF30B8">
        <w:rPr>
          <w:sz w:val="24"/>
          <w:szCs w:val="24"/>
          <w:lang w:eastAsia="en-ZA"/>
        </w:rPr>
        <w:t> </w:t>
      </w:r>
      <w:r w:rsidR="00C34F79" w:rsidRPr="00CF30B8">
        <w:rPr>
          <w:sz w:val="24"/>
          <w:szCs w:val="24"/>
          <w:lang w:eastAsia="en-ZA"/>
        </w:rPr>
        <w:t>118(3)</w:t>
      </w:r>
      <w:r w:rsidR="009A3CCD" w:rsidRPr="00CF30B8">
        <w:rPr>
          <w:sz w:val="24"/>
          <w:szCs w:val="24"/>
          <w:lang w:eastAsia="en-ZA"/>
        </w:rPr>
        <w:t>. Having misconstrued the section, it sought, in addition to the security that it enjoys for the historical debt to which no limit in duration exists, the postulated undertaking. In that it had to fail.’</w:t>
      </w:r>
      <w:r w:rsidR="009A3CCD" w:rsidRPr="00CF30B8">
        <w:rPr>
          <w:rStyle w:val="FootnoteReference"/>
          <w:sz w:val="24"/>
          <w:szCs w:val="24"/>
          <w:lang w:eastAsia="en-ZA"/>
        </w:rPr>
        <w:footnoteReference w:id="16"/>
      </w:r>
      <w:r w:rsidR="009A3CCD" w:rsidRPr="00CF30B8">
        <w:rPr>
          <w:sz w:val="24"/>
          <w:szCs w:val="24"/>
          <w:lang w:eastAsia="en-ZA"/>
        </w:rPr>
        <w:t xml:space="preserve"> </w:t>
      </w:r>
    </w:p>
    <w:p w:rsidR="00082A59" w:rsidRPr="00CF30B8" w:rsidRDefault="00082A59" w:rsidP="00082A59">
      <w:pPr>
        <w:pStyle w:val="Quote"/>
        <w:spacing w:before="0" w:after="0"/>
        <w:rPr>
          <w:sz w:val="24"/>
          <w:szCs w:val="24"/>
          <w:lang w:eastAsia="en-ZA"/>
        </w:rPr>
      </w:pPr>
    </w:p>
    <w:p w:rsidR="00B13D79" w:rsidRPr="00CF30B8" w:rsidRDefault="00B75983" w:rsidP="00B75983">
      <w:pPr>
        <w:pStyle w:val="Sectionnumbering"/>
        <w:numPr>
          <w:ilvl w:val="0"/>
          <w:numId w:val="0"/>
        </w:numPr>
        <w:spacing w:before="0" w:after="0"/>
        <w:rPr>
          <w:szCs w:val="24"/>
        </w:rPr>
      </w:pPr>
      <w:r w:rsidRPr="00CF30B8">
        <w:rPr>
          <w:szCs w:val="24"/>
          <w:lang w:eastAsia="en-ZA"/>
        </w:rPr>
        <w:t>[14]</w:t>
      </w:r>
      <w:r w:rsidRPr="00CF30B8">
        <w:rPr>
          <w:szCs w:val="24"/>
          <w:lang w:eastAsia="en-ZA"/>
        </w:rPr>
        <w:tab/>
      </w:r>
      <w:r w:rsidR="00B13D79" w:rsidRPr="00970337">
        <w:rPr>
          <w:szCs w:val="24"/>
          <w:highlight w:val="yellow"/>
          <w:lang w:eastAsia="en-ZA"/>
        </w:rPr>
        <w:t xml:space="preserve">This </w:t>
      </w:r>
      <w:r w:rsidR="005B655D" w:rsidRPr="00970337">
        <w:rPr>
          <w:szCs w:val="24"/>
          <w:highlight w:val="yellow"/>
          <w:lang w:eastAsia="en-ZA"/>
        </w:rPr>
        <w:t xml:space="preserve">court has therefore clearly held </w:t>
      </w:r>
      <w:r w:rsidR="00B13D79" w:rsidRPr="00970337">
        <w:rPr>
          <w:szCs w:val="24"/>
          <w:highlight w:val="yellow"/>
          <w:lang w:eastAsia="en-ZA"/>
        </w:rPr>
        <w:t>that a transfer of</w:t>
      </w:r>
      <w:r w:rsidR="00927C8B" w:rsidRPr="00970337">
        <w:rPr>
          <w:szCs w:val="24"/>
          <w:highlight w:val="yellow"/>
          <w:lang w:eastAsia="en-ZA"/>
        </w:rPr>
        <w:t xml:space="preserve"> </w:t>
      </w:r>
      <w:r w:rsidR="00B13D79" w:rsidRPr="00970337">
        <w:rPr>
          <w:szCs w:val="24"/>
          <w:highlight w:val="yellow"/>
          <w:lang w:eastAsia="en-ZA"/>
        </w:rPr>
        <w:t xml:space="preserve">property </w:t>
      </w:r>
      <w:r w:rsidR="005B655D" w:rsidRPr="00970337">
        <w:rPr>
          <w:szCs w:val="24"/>
          <w:highlight w:val="yellow"/>
          <w:lang w:eastAsia="en-ZA"/>
        </w:rPr>
        <w:t xml:space="preserve">from one owner to </w:t>
      </w:r>
      <w:r w:rsidR="00B13D79" w:rsidRPr="00970337">
        <w:rPr>
          <w:szCs w:val="24"/>
          <w:highlight w:val="yellow"/>
          <w:lang w:eastAsia="en-ZA"/>
        </w:rPr>
        <w:t xml:space="preserve">another </w:t>
      </w:r>
      <w:r w:rsidR="005B655D" w:rsidRPr="00970337">
        <w:rPr>
          <w:szCs w:val="24"/>
          <w:highlight w:val="yellow"/>
          <w:lang w:eastAsia="en-ZA"/>
        </w:rPr>
        <w:t>does</w:t>
      </w:r>
      <w:r w:rsidR="00B13D79" w:rsidRPr="00970337">
        <w:rPr>
          <w:szCs w:val="24"/>
          <w:highlight w:val="yellow"/>
          <w:lang w:eastAsia="en-ZA"/>
        </w:rPr>
        <w:t xml:space="preserve"> not </w:t>
      </w:r>
      <w:r w:rsidR="005B655D" w:rsidRPr="00970337">
        <w:rPr>
          <w:szCs w:val="24"/>
          <w:highlight w:val="yellow"/>
          <w:lang w:eastAsia="en-ZA"/>
        </w:rPr>
        <w:t>extinguish</w:t>
      </w:r>
      <w:r w:rsidR="00B13D79" w:rsidRPr="00970337">
        <w:rPr>
          <w:szCs w:val="24"/>
          <w:highlight w:val="yellow"/>
          <w:lang w:eastAsia="en-ZA"/>
        </w:rPr>
        <w:t xml:space="preserve"> the security created by </w:t>
      </w:r>
      <w:proofErr w:type="spellStart"/>
      <w:r w:rsidR="00835C30" w:rsidRPr="00970337">
        <w:rPr>
          <w:szCs w:val="24"/>
          <w:highlight w:val="yellow"/>
          <w:lang w:eastAsia="en-ZA"/>
        </w:rPr>
        <w:t>ss</w:t>
      </w:r>
      <w:proofErr w:type="spellEnd"/>
      <w:r w:rsidR="00192D09" w:rsidRPr="00970337">
        <w:rPr>
          <w:szCs w:val="24"/>
          <w:highlight w:val="yellow"/>
          <w:lang w:eastAsia="en-ZA"/>
        </w:rPr>
        <w:t> </w:t>
      </w:r>
      <w:r w:rsidR="00835C30" w:rsidRPr="00970337">
        <w:rPr>
          <w:szCs w:val="24"/>
          <w:highlight w:val="yellow"/>
          <w:lang w:eastAsia="en-ZA"/>
        </w:rPr>
        <w:t>118(3)</w:t>
      </w:r>
      <w:r w:rsidR="00B13D79" w:rsidRPr="00970337">
        <w:rPr>
          <w:szCs w:val="24"/>
          <w:highlight w:val="yellow"/>
          <w:lang w:eastAsia="en-ZA"/>
        </w:rPr>
        <w:t>.</w:t>
      </w:r>
      <w:r w:rsidR="005B655D" w:rsidRPr="00CF30B8">
        <w:rPr>
          <w:szCs w:val="24"/>
          <w:lang w:eastAsia="en-ZA"/>
        </w:rPr>
        <w:t xml:space="preserve"> </w:t>
      </w:r>
      <w:r w:rsidR="00925E69" w:rsidRPr="00CF30B8">
        <w:rPr>
          <w:szCs w:val="24"/>
          <w:lang w:eastAsia="en-ZA"/>
        </w:rPr>
        <w:t>C</w:t>
      </w:r>
      <w:r w:rsidR="005B655D" w:rsidRPr="00CF30B8">
        <w:rPr>
          <w:szCs w:val="24"/>
          <w:lang w:eastAsia="en-ZA"/>
        </w:rPr>
        <w:t xml:space="preserve">ounsel for the respondent did not argue that </w:t>
      </w:r>
      <w:proofErr w:type="spellStart"/>
      <w:r w:rsidR="00CC27DE" w:rsidRPr="00CF30B8">
        <w:rPr>
          <w:i/>
          <w:szCs w:val="24"/>
          <w:lang w:eastAsia="en-ZA"/>
        </w:rPr>
        <w:t>Mathabath</w:t>
      </w:r>
      <w:r w:rsidR="005B655D" w:rsidRPr="00CF30B8">
        <w:rPr>
          <w:i/>
          <w:szCs w:val="24"/>
          <w:lang w:eastAsia="en-ZA"/>
        </w:rPr>
        <w:t>e</w:t>
      </w:r>
      <w:proofErr w:type="spellEnd"/>
      <w:r w:rsidR="00985266" w:rsidRPr="00CF30B8">
        <w:rPr>
          <w:szCs w:val="24"/>
          <w:lang w:eastAsia="en-ZA"/>
        </w:rPr>
        <w:t xml:space="preserve"> </w:t>
      </w:r>
      <w:r w:rsidR="00891EE9" w:rsidRPr="00CF30B8">
        <w:rPr>
          <w:szCs w:val="24"/>
          <w:lang w:eastAsia="en-ZA"/>
        </w:rPr>
        <w:t>was</w:t>
      </w:r>
      <w:r w:rsidR="00925E69" w:rsidRPr="00CF30B8">
        <w:rPr>
          <w:szCs w:val="24"/>
          <w:lang w:eastAsia="en-ZA"/>
        </w:rPr>
        <w:t xml:space="preserve"> </w:t>
      </w:r>
      <w:r w:rsidR="00985266" w:rsidRPr="00CF30B8">
        <w:rPr>
          <w:szCs w:val="24"/>
          <w:lang w:eastAsia="en-ZA"/>
        </w:rPr>
        <w:t>wrongly decided, but submitted that at least in respect of sales in execution</w:t>
      </w:r>
      <w:r w:rsidR="00925E69" w:rsidRPr="00CF30B8">
        <w:rPr>
          <w:szCs w:val="24"/>
          <w:lang w:eastAsia="en-ZA"/>
        </w:rPr>
        <w:t>,</w:t>
      </w:r>
      <w:r w:rsidR="00985266" w:rsidRPr="00CF30B8">
        <w:rPr>
          <w:szCs w:val="24"/>
          <w:lang w:eastAsia="en-ZA"/>
        </w:rPr>
        <w:t xml:space="preserve"> the statutory hypothec created in terms of </w:t>
      </w:r>
      <w:r w:rsidR="00985266" w:rsidRPr="00CF30B8">
        <w:rPr>
          <w:szCs w:val="24"/>
          <w:lang w:eastAsia="en-ZA"/>
        </w:rPr>
        <w:lastRenderedPageBreak/>
        <w:t>s</w:t>
      </w:r>
      <w:r w:rsidR="00192D09" w:rsidRPr="00CF30B8">
        <w:rPr>
          <w:szCs w:val="24"/>
          <w:lang w:eastAsia="en-ZA"/>
        </w:rPr>
        <w:t> </w:t>
      </w:r>
      <w:r w:rsidR="00985266" w:rsidRPr="00CF30B8">
        <w:rPr>
          <w:szCs w:val="24"/>
          <w:lang w:eastAsia="en-ZA"/>
        </w:rPr>
        <w:t>118(3) ‘is to be enforced against the proceeds of the sale of the property at a sale in execution’.</w:t>
      </w:r>
    </w:p>
    <w:p w:rsidR="00082A59" w:rsidRPr="00CF30B8" w:rsidRDefault="00082A59" w:rsidP="00082A59">
      <w:pPr>
        <w:pStyle w:val="Sectionnumbering"/>
        <w:numPr>
          <w:ilvl w:val="0"/>
          <w:numId w:val="0"/>
        </w:numPr>
        <w:spacing w:before="0" w:after="0"/>
        <w:rPr>
          <w:szCs w:val="24"/>
        </w:rPr>
      </w:pPr>
    </w:p>
    <w:p w:rsidR="00AE02D2" w:rsidRPr="00CF30B8" w:rsidRDefault="00B75983" w:rsidP="00B75983">
      <w:pPr>
        <w:pStyle w:val="Sectionnumbering"/>
        <w:numPr>
          <w:ilvl w:val="0"/>
          <w:numId w:val="0"/>
        </w:numPr>
        <w:spacing w:before="0" w:after="0"/>
        <w:rPr>
          <w:szCs w:val="24"/>
        </w:rPr>
      </w:pPr>
      <w:r w:rsidRPr="00CF30B8">
        <w:rPr>
          <w:szCs w:val="24"/>
        </w:rPr>
        <w:t>[15]</w:t>
      </w:r>
      <w:r w:rsidRPr="00CF30B8">
        <w:rPr>
          <w:szCs w:val="24"/>
        </w:rPr>
        <w:tab/>
      </w:r>
      <w:r w:rsidR="00235F21" w:rsidRPr="00CF30B8">
        <w:rPr>
          <w:szCs w:val="24"/>
        </w:rPr>
        <w:t>In my view, the</w:t>
      </w:r>
      <w:r w:rsidR="00DC17DA" w:rsidRPr="00CF30B8">
        <w:rPr>
          <w:szCs w:val="24"/>
        </w:rPr>
        <w:t xml:space="preserve"> </w:t>
      </w:r>
      <w:r w:rsidR="00DC17DA" w:rsidRPr="00970337">
        <w:rPr>
          <w:szCs w:val="24"/>
          <w:highlight w:val="yellow"/>
        </w:rPr>
        <w:t>distinction drawn by the court a quo</w:t>
      </w:r>
      <w:r w:rsidR="008C5D99" w:rsidRPr="00970337">
        <w:rPr>
          <w:szCs w:val="24"/>
          <w:highlight w:val="yellow"/>
        </w:rPr>
        <w:t xml:space="preserve"> </w:t>
      </w:r>
      <w:r w:rsidR="00235F21" w:rsidRPr="00970337">
        <w:rPr>
          <w:szCs w:val="24"/>
          <w:highlight w:val="yellow"/>
        </w:rPr>
        <w:t xml:space="preserve">between the present matter and </w:t>
      </w:r>
      <w:proofErr w:type="spellStart"/>
      <w:r w:rsidR="00CC27DE" w:rsidRPr="00970337">
        <w:rPr>
          <w:i/>
          <w:szCs w:val="24"/>
          <w:highlight w:val="yellow"/>
        </w:rPr>
        <w:t>Mathabath</w:t>
      </w:r>
      <w:r w:rsidR="00235F21" w:rsidRPr="00970337">
        <w:rPr>
          <w:i/>
          <w:szCs w:val="24"/>
          <w:highlight w:val="yellow"/>
        </w:rPr>
        <w:t>e</w:t>
      </w:r>
      <w:proofErr w:type="spellEnd"/>
      <w:r w:rsidR="00841B34" w:rsidRPr="00970337">
        <w:rPr>
          <w:szCs w:val="24"/>
          <w:highlight w:val="yellow"/>
        </w:rPr>
        <w:t>,</w:t>
      </w:r>
      <w:r w:rsidR="00841B34" w:rsidRPr="00CF30B8">
        <w:rPr>
          <w:i/>
          <w:szCs w:val="24"/>
        </w:rPr>
        <w:t xml:space="preserve"> </w:t>
      </w:r>
      <w:r w:rsidR="00841B34" w:rsidRPr="00CF30B8">
        <w:rPr>
          <w:szCs w:val="24"/>
        </w:rPr>
        <w:t>and relied on by counsel for the respondent in this court,</w:t>
      </w:r>
      <w:r w:rsidR="00235F21" w:rsidRPr="00CF30B8">
        <w:rPr>
          <w:szCs w:val="24"/>
        </w:rPr>
        <w:t xml:space="preserve"> is </w:t>
      </w:r>
      <w:r w:rsidR="00235F21" w:rsidRPr="00970337">
        <w:rPr>
          <w:szCs w:val="24"/>
          <w:highlight w:val="yellow"/>
        </w:rPr>
        <w:t>not justified</w:t>
      </w:r>
      <w:r w:rsidR="00235F21" w:rsidRPr="00CF30B8">
        <w:rPr>
          <w:szCs w:val="24"/>
        </w:rPr>
        <w:t>.</w:t>
      </w:r>
      <w:r w:rsidR="00627130" w:rsidRPr="00CF30B8">
        <w:rPr>
          <w:szCs w:val="24"/>
        </w:rPr>
        <w:t xml:space="preserve"> </w:t>
      </w:r>
      <w:r w:rsidR="00235F21" w:rsidRPr="00CF30B8">
        <w:rPr>
          <w:szCs w:val="24"/>
        </w:rPr>
        <w:t xml:space="preserve">The </w:t>
      </w:r>
      <w:r w:rsidR="00235F21" w:rsidRPr="00970337">
        <w:rPr>
          <w:szCs w:val="24"/>
          <w:highlight w:val="yellow"/>
        </w:rPr>
        <w:t xml:space="preserve">reliance on the exception in </w:t>
      </w:r>
      <w:proofErr w:type="spellStart"/>
      <w:r w:rsidR="00235F21" w:rsidRPr="00970337">
        <w:rPr>
          <w:szCs w:val="24"/>
          <w:highlight w:val="yellow"/>
          <w:u w:val="single"/>
        </w:rPr>
        <w:t>Voet</w:t>
      </w:r>
      <w:proofErr w:type="spellEnd"/>
      <w:r w:rsidR="00235F21" w:rsidRPr="00CF30B8">
        <w:rPr>
          <w:szCs w:val="24"/>
        </w:rPr>
        <w:t xml:space="preserve"> 20.1.13 is, in my opinion, </w:t>
      </w:r>
      <w:r w:rsidR="00235F21" w:rsidRPr="00970337">
        <w:rPr>
          <w:szCs w:val="24"/>
          <w:highlight w:val="yellow"/>
        </w:rPr>
        <w:t>misplaced</w:t>
      </w:r>
      <w:r w:rsidR="00235F21" w:rsidRPr="00CF30B8">
        <w:rPr>
          <w:szCs w:val="24"/>
        </w:rPr>
        <w:t xml:space="preserve">. The text relied upon appears under the main title: </w:t>
      </w:r>
      <w:r w:rsidR="00235F21" w:rsidRPr="00CF30B8">
        <w:rPr>
          <w:i/>
          <w:szCs w:val="24"/>
        </w:rPr>
        <w:t xml:space="preserve">The contract of pledge and hypothec, and the agreements attached to it. </w:t>
      </w:r>
      <w:r w:rsidR="00AA4672" w:rsidRPr="00CF30B8">
        <w:rPr>
          <w:szCs w:val="24"/>
        </w:rPr>
        <w:t>The subheading to s</w:t>
      </w:r>
      <w:r w:rsidR="00235F21" w:rsidRPr="00CF30B8">
        <w:rPr>
          <w:szCs w:val="24"/>
        </w:rPr>
        <w:t xml:space="preserve">ection 13 </w:t>
      </w:r>
      <w:r w:rsidR="00AA4672" w:rsidRPr="00CF30B8">
        <w:rPr>
          <w:szCs w:val="24"/>
        </w:rPr>
        <w:t>reads</w:t>
      </w:r>
      <w:r w:rsidR="00235F21" w:rsidRPr="00CF30B8">
        <w:rPr>
          <w:szCs w:val="24"/>
        </w:rPr>
        <w:t xml:space="preserve">: </w:t>
      </w:r>
      <w:proofErr w:type="spellStart"/>
      <w:r w:rsidR="00235F21" w:rsidRPr="00CF30B8">
        <w:rPr>
          <w:i/>
          <w:szCs w:val="24"/>
        </w:rPr>
        <w:t>Immovables</w:t>
      </w:r>
      <w:proofErr w:type="spellEnd"/>
      <w:r w:rsidR="00235F21" w:rsidRPr="00CF30B8">
        <w:rPr>
          <w:i/>
          <w:szCs w:val="24"/>
        </w:rPr>
        <w:t xml:space="preserve"> specially mortgaged pass </w:t>
      </w:r>
      <w:r w:rsidR="00235F21" w:rsidRPr="00CF30B8">
        <w:rPr>
          <w:szCs w:val="24"/>
        </w:rPr>
        <w:t>with</w:t>
      </w:r>
      <w:r w:rsidR="00235F21" w:rsidRPr="00CF30B8">
        <w:rPr>
          <w:i/>
          <w:szCs w:val="24"/>
        </w:rPr>
        <w:t xml:space="preserve"> burden. </w:t>
      </w:r>
      <w:r w:rsidR="00235F21" w:rsidRPr="00CF30B8">
        <w:rPr>
          <w:szCs w:val="24"/>
        </w:rPr>
        <w:t xml:space="preserve">And in 20.1.1 a hypothec is defined as ‘a praetorian and discretionary agreement, by which a right </w:t>
      </w:r>
      <w:r w:rsidR="00235F21" w:rsidRPr="00CF30B8">
        <w:rPr>
          <w:i/>
          <w:szCs w:val="24"/>
        </w:rPr>
        <w:t>in re</w:t>
      </w:r>
      <w:r w:rsidR="00235F21" w:rsidRPr="00CF30B8">
        <w:rPr>
          <w:szCs w:val="24"/>
        </w:rPr>
        <w:t xml:space="preserve"> is established for a creditor in security of his credit, without transference of the possession to that creditor’.</w:t>
      </w:r>
      <w:r w:rsidR="00235F21" w:rsidRPr="00CF30B8">
        <w:rPr>
          <w:i/>
          <w:szCs w:val="24"/>
        </w:rPr>
        <w:t xml:space="preserve"> </w:t>
      </w:r>
      <w:r w:rsidR="00235F21" w:rsidRPr="00CF30B8">
        <w:rPr>
          <w:szCs w:val="24"/>
        </w:rPr>
        <w:t>Title one (1) of Book 20 (</w:t>
      </w:r>
      <w:proofErr w:type="spellStart"/>
      <w:r w:rsidR="00235F21" w:rsidRPr="00CF30B8">
        <w:rPr>
          <w:szCs w:val="24"/>
        </w:rPr>
        <w:t>Voet</w:t>
      </w:r>
      <w:proofErr w:type="spellEnd"/>
      <w:r w:rsidR="00235F21" w:rsidRPr="00CF30B8">
        <w:rPr>
          <w:szCs w:val="24"/>
        </w:rPr>
        <w:t xml:space="preserve"> 20.1) deals</w:t>
      </w:r>
      <w:r w:rsidR="00925E69" w:rsidRPr="00CF30B8">
        <w:rPr>
          <w:szCs w:val="24"/>
        </w:rPr>
        <w:t>,</w:t>
      </w:r>
      <w:r w:rsidR="00235F21" w:rsidRPr="00CF30B8">
        <w:rPr>
          <w:szCs w:val="24"/>
        </w:rPr>
        <w:t xml:space="preserve"> </w:t>
      </w:r>
      <w:r w:rsidR="00925E69" w:rsidRPr="00CF30B8">
        <w:rPr>
          <w:szCs w:val="24"/>
        </w:rPr>
        <w:t xml:space="preserve">therefore, </w:t>
      </w:r>
      <w:r w:rsidR="00235F21" w:rsidRPr="00CF30B8">
        <w:rPr>
          <w:szCs w:val="24"/>
        </w:rPr>
        <w:t xml:space="preserve">with instances where the </w:t>
      </w:r>
      <w:r w:rsidR="00841B34" w:rsidRPr="00CF30B8">
        <w:rPr>
          <w:szCs w:val="24"/>
        </w:rPr>
        <w:t>‘</w:t>
      </w:r>
      <w:r w:rsidR="00235F21" w:rsidRPr="00CF30B8">
        <w:rPr>
          <w:szCs w:val="24"/>
        </w:rPr>
        <w:t>hypothec</w:t>
      </w:r>
      <w:r w:rsidR="00841B34" w:rsidRPr="00CF30B8">
        <w:rPr>
          <w:szCs w:val="24"/>
        </w:rPr>
        <w:t>’</w:t>
      </w:r>
      <w:r w:rsidR="00235F21" w:rsidRPr="00CF30B8">
        <w:rPr>
          <w:szCs w:val="24"/>
        </w:rPr>
        <w:t xml:space="preserve"> was created by agreement, such as </w:t>
      </w:r>
      <w:r w:rsidR="00AA4672" w:rsidRPr="00CF30B8">
        <w:rPr>
          <w:szCs w:val="24"/>
        </w:rPr>
        <w:t>an agre</w:t>
      </w:r>
      <w:r w:rsidR="00841B34" w:rsidRPr="00CF30B8">
        <w:rPr>
          <w:szCs w:val="24"/>
        </w:rPr>
        <w:t>ement in terms of which a debt wa</w:t>
      </w:r>
      <w:r w:rsidR="00AA4672" w:rsidRPr="00CF30B8">
        <w:rPr>
          <w:szCs w:val="24"/>
        </w:rPr>
        <w:t xml:space="preserve">s secured by means of </w:t>
      </w:r>
      <w:r w:rsidR="00235F21" w:rsidRPr="00CF30B8">
        <w:rPr>
          <w:szCs w:val="24"/>
        </w:rPr>
        <w:t>a mortgage bond</w:t>
      </w:r>
      <w:r w:rsidR="00902B62" w:rsidRPr="00CF30B8">
        <w:rPr>
          <w:szCs w:val="24"/>
        </w:rPr>
        <w:t xml:space="preserve"> registered over immovable</w:t>
      </w:r>
      <w:r w:rsidR="00AA4672" w:rsidRPr="00CF30B8">
        <w:rPr>
          <w:szCs w:val="24"/>
        </w:rPr>
        <w:t xml:space="preserve"> property in favour of a creditor</w:t>
      </w:r>
      <w:r w:rsidR="00235F21" w:rsidRPr="00CF30B8">
        <w:rPr>
          <w:szCs w:val="24"/>
        </w:rPr>
        <w:t xml:space="preserve">, or an agreement formalised by a praetor. In my view, the exception in </w:t>
      </w:r>
      <w:proofErr w:type="spellStart"/>
      <w:r w:rsidR="00235F21" w:rsidRPr="00CF30B8">
        <w:rPr>
          <w:szCs w:val="24"/>
        </w:rPr>
        <w:t>Voet</w:t>
      </w:r>
      <w:proofErr w:type="spellEnd"/>
      <w:r w:rsidR="00235F21" w:rsidRPr="00CF30B8">
        <w:rPr>
          <w:szCs w:val="24"/>
        </w:rPr>
        <w:t xml:space="preserve"> 2</w:t>
      </w:r>
      <w:r w:rsidR="00DC17DA" w:rsidRPr="00CF30B8">
        <w:rPr>
          <w:szCs w:val="24"/>
        </w:rPr>
        <w:t xml:space="preserve">0.1.13, on which the court a quo </w:t>
      </w:r>
      <w:r w:rsidR="00235F21" w:rsidRPr="00CF30B8">
        <w:rPr>
          <w:szCs w:val="24"/>
        </w:rPr>
        <w:t>relied, does not apply to a hypothec created by a statute that places no limit to its duration.</w:t>
      </w:r>
      <w:r w:rsidR="0037521C" w:rsidRPr="00CF30B8">
        <w:rPr>
          <w:szCs w:val="24"/>
        </w:rPr>
        <w:t xml:space="preserve"> </w:t>
      </w:r>
      <w:r w:rsidR="00235F21" w:rsidRPr="00CF30B8">
        <w:rPr>
          <w:szCs w:val="24"/>
        </w:rPr>
        <w:t xml:space="preserve">There is nothing in the Act </w:t>
      </w:r>
      <w:r w:rsidR="00925E69" w:rsidRPr="00CF30B8">
        <w:rPr>
          <w:szCs w:val="24"/>
        </w:rPr>
        <w:t xml:space="preserve">that </w:t>
      </w:r>
      <w:r w:rsidR="00235F21" w:rsidRPr="00CF30B8">
        <w:rPr>
          <w:szCs w:val="24"/>
        </w:rPr>
        <w:t>indicate</w:t>
      </w:r>
      <w:r w:rsidR="00925E69" w:rsidRPr="00CF30B8">
        <w:rPr>
          <w:szCs w:val="24"/>
        </w:rPr>
        <w:t>s</w:t>
      </w:r>
      <w:r w:rsidR="00235F21" w:rsidRPr="00CF30B8">
        <w:rPr>
          <w:szCs w:val="24"/>
        </w:rPr>
        <w:t xml:space="preserve"> </w:t>
      </w:r>
      <w:r w:rsidR="00841B34" w:rsidRPr="00CF30B8">
        <w:rPr>
          <w:szCs w:val="24"/>
        </w:rPr>
        <w:t xml:space="preserve">that </w:t>
      </w:r>
      <w:r w:rsidR="00235F21" w:rsidRPr="00CF30B8">
        <w:rPr>
          <w:szCs w:val="24"/>
        </w:rPr>
        <w:t xml:space="preserve">any exception to </w:t>
      </w:r>
      <w:r w:rsidR="009C3293" w:rsidRPr="00CF30B8">
        <w:rPr>
          <w:szCs w:val="24"/>
        </w:rPr>
        <w:t xml:space="preserve">the application of </w:t>
      </w:r>
      <w:r w:rsidR="00902B62" w:rsidRPr="00CF30B8">
        <w:rPr>
          <w:szCs w:val="24"/>
        </w:rPr>
        <w:t>the provisions of</w:t>
      </w:r>
      <w:r w:rsidR="003805E6" w:rsidRPr="00CF30B8">
        <w:rPr>
          <w:szCs w:val="24"/>
        </w:rPr>
        <w:t> s</w:t>
      </w:r>
      <w:r w:rsidR="00902B62" w:rsidRPr="00CF30B8">
        <w:rPr>
          <w:szCs w:val="24"/>
        </w:rPr>
        <w:t> </w:t>
      </w:r>
      <w:r w:rsidR="003805E6" w:rsidRPr="00CF30B8">
        <w:rPr>
          <w:szCs w:val="24"/>
        </w:rPr>
        <w:t xml:space="preserve">118(3) </w:t>
      </w:r>
      <w:r w:rsidR="00235F21" w:rsidRPr="00CF30B8">
        <w:rPr>
          <w:szCs w:val="24"/>
        </w:rPr>
        <w:t>was contemplated</w:t>
      </w:r>
      <w:r w:rsidR="009C3293" w:rsidRPr="00CF30B8">
        <w:rPr>
          <w:szCs w:val="24"/>
        </w:rPr>
        <w:t xml:space="preserve"> where property is purchased</w:t>
      </w:r>
      <w:r w:rsidR="00FA4260" w:rsidRPr="00CF30B8">
        <w:rPr>
          <w:szCs w:val="24"/>
        </w:rPr>
        <w:t xml:space="preserve"> at a sale in execution</w:t>
      </w:r>
      <w:r w:rsidR="00235F21" w:rsidRPr="00CF30B8">
        <w:rPr>
          <w:szCs w:val="24"/>
        </w:rPr>
        <w:t xml:space="preserve">. </w:t>
      </w:r>
      <w:r w:rsidR="004F621E" w:rsidRPr="00CF30B8">
        <w:rPr>
          <w:szCs w:val="24"/>
        </w:rPr>
        <w:t>On the contrary,</w:t>
      </w:r>
      <w:r w:rsidR="007B5BAD" w:rsidRPr="00CF30B8">
        <w:rPr>
          <w:szCs w:val="24"/>
        </w:rPr>
        <w:t xml:space="preserve"> there are indications that the exception to</w:t>
      </w:r>
      <w:r w:rsidR="00DC17DA" w:rsidRPr="00CF30B8">
        <w:rPr>
          <w:szCs w:val="24"/>
        </w:rPr>
        <w:t xml:space="preserve"> the</w:t>
      </w:r>
      <w:r w:rsidR="007B5BAD" w:rsidRPr="00CF30B8">
        <w:rPr>
          <w:szCs w:val="24"/>
        </w:rPr>
        <w:t xml:space="preserve"> commo</w:t>
      </w:r>
      <w:r w:rsidR="00DC17DA" w:rsidRPr="00CF30B8">
        <w:rPr>
          <w:szCs w:val="24"/>
        </w:rPr>
        <w:t>n law invoked by the court a quo</w:t>
      </w:r>
      <w:r w:rsidR="007B5BAD" w:rsidRPr="00CF30B8">
        <w:rPr>
          <w:szCs w:val="24"/>
        </w:rPr>
        <w:t xml:space="preserve"> does not apply </w:t>
      </w:r>
      <w:r w:rsidR="001D6028" w:rsidRPr="00CF30B8">
        <w:rPr>
          <w:szCs w:val="24"/>
        </w:rPr>
        <w:t xml:space="preserve">to </w:t>
      </w:r>
      <w:r w:rsidR="007B5BAD" w:rsidRPr="00CF30B8">
        <w:rPr>
          <w:szCs w:val="24"/>
        </w:rPr>
        <w:t>the statutory hypothec created by s</w:t>
      </w:r>
      <w:r w:rsidR="00192D09" w:rsidRPr="00CF30B8">
        <w:rPr>
          <w:szCs w:val="24"/>
        </w:rPr>
        <w:t> </w:t>
      </w:r>
      <w:r w:rsidR="007B5BAD" w:rsidRPr="00CF30B8">
        <w:rPr>
          <w:szCs w:val="24"/>
        </w:rPr>
        <w:t>118(3) of the Act.</w:t>
      </w:r>
      <w:bookmarkStart w:id="7" w:name="0-0-0-359507"/>
      <w:bookmarkStart w:id="8" w:name="0-0-0-359509"/>
      <w:bookmarkStart w:id="9" w:name="0-0-0-359515"/>
      <w:bookmarkStart w:id="10" w:name="0-0-0-359521"/>
      <w:bookmarkStart w:id="11" w:name="0-0-0-359525"/>
      <w:bookmarkEnd w:id="7"/>
      <w:bookmarkEnd w:id="8"/>
      <w:bookmarkEnd w:id="9"/>
      <w:bookmarkEnd w:id="10"/>
      <w:bookmarkEnd w:id="11"/>
    </w:p>
    <w:p w:rsidR="00082A59" w:rsidRPr="00CF30B8" w:rsidRDefault="00082A59" w:rsidP="00082A59">
      <w:pPr>
        <w:pStyle w:val="Sectionnumbering"/>
        <w:numPr>
          <w:ilvl w:val="0"/>
          <w:numId w:val="0"/>
        </w:numPr>
        <w:spacing w:before="0" w:after="0"/>
        <w:rPr>
          <w:szCs w:val="24"/>
        </w:rPr>
      </w:pPr>
    </w:p>
    <w:p w:rsidR="00E17B81" w:rsidRPr="00CF30B8" w:rsidRDefault="00B75983" w:rsidP="00B75983">
      <w:pPr>
        <w:pStyle w:val="Sectionnumbering"/>
        <w:numPr>
          <w:ilvl w:val="0"/>
          <w:numId w:val="0"/>
        </w:numPr>
        <w:spacing w:before="0" w:after="0"/>
        <w:rPr>
          <w:szCs w:val="24"/>
        </w:rPr>
      </w:pPr>
      <w:r w:rsidRPr="00CF30B8">
        <w:rPr>
          <w:szCs w:val="24"/>
        </w:rPr>
        <w:t>[16]</w:t>
      </w:r>
      <w:r w:rsidRPr="00CF30B8">
        <w:rPr>
          <w:szCs w:val="24"/>
        </w:rPr>
        <w:tab/>
      </w:r>
      <w:r w:rsidR="00632356" w:rsidRPr="00970337">
        <w:rPr>
          <w:szCs w:val="24"/>
          <w:highlight w:val="yellow"/>
        </w:rPr>
        <w:t>The p</w:t>
      </w:r>
      <w:r w:rsidR="00746A78" w:rsidRPr="00970337">
        <w:rPr>
          <w:szCs w:val="24"/>
          <w:highlight w:val="yellow"/>
        </w:rPr>
        <w:t>rovisions of s </w:t>
      </w:r>
      <w:r w:rsidR="007777CD" w:rsidRPr="00970337">
        <w:rPr>
          <w:szCs w:val="24"/>
          <w:highlight w:val="yellow"/>
        </w:rPr>
        <w:t>118, including s </w:t>
      </w:r>
      <w:r w:rsidR="00632356" w:rsidRPr="00970337">
        <w:rPr>
          <w:szCs w:val="24"/>
          <w:highlight w:val="yellow"/>
        </w:rPr>
        <w:t>118(3), are made subject to s</w:t>
      </w:r>
      <w:r w:rsidR="00192D09" w:rsidRPr="00970337">
        <w:rPr>
          <w:szCs w:val="24"/>
          <w:highlight w:val="yellow"/>
        </w:rPr>
        <w:t> </w:t>
      </w:r>
      <w:r w:rsidR="00632356" w:rsidRPr="00970337">
        <w:rPr>
          <w:szCs w:val="24"/>
          <w:highlight w:val="yellow"/>
        </w:rPr>
        <w:t>89 of the Insolvency Act</w:t>
      </w:r>
      <w:r w:rsidR="00632356" w:rsidRPr="00CF30B8">
        <w:rPr>
          <w:szCs w:val="24"/>
        </w:rPr>
        <w:t xml:space="preserve"> 24 of 193</w:t>
      </w:r>
      <w:r w:rsidR="00844C3F" w:rsidRPr="00CF30B8">
        <w:rPr>
          <w:szCs w:val="24"/>
        </w:rPr>
        <w:t>6</w:t>
      </w:r>
      <w:r w:rsidR="00632356" w:rsidRPr="00CF30B8">
        <w:rPr>
          <w:szCs w:val="24"/>
        </w:rPr>
        <w:t xml:space="preserve"> in the case of the </w:t>
      </w:r>
      <w:r w:rsidR="00632356" w:rsidRPr="00970337">
        <w:rPr>
          <w:szCs w:val="24"/>
          <w:highlight w:val="yellow"/>
        </w:rPr>
        <w:t>transfer of property by a tr</w:t>
      </w:r>
      <w:r w:rsidR="007777CD" w:rsidRPr="00970337">
        <w:rPr>
          <w:szCs w:val="24"/>
          <w:highlight w:val="yellow"/>
        </w:rPr>
        <w:t>ustee of an insolvent estate</w:t>
      </w:r>
      <w:r w:rsidR="007777CD" w:rsidRPr="00CF30B8">
        <w:rPr>
          <w:szCs w:val="24"/>
        </w:rPr>
        <w:t xml:space="preserve"> (s </w:t>
      </w:r>
      <w:r w:rsidR="00632356" w:rsidRPr="00CF30B8">
        <w:rPr>
          <w:szCs w:val="24"/>
        </w:rPr>
        <w:t>118(2) of the Act)</w:t>
      </w:r>
      <w:r w:rsidR="00DC17DA" w:rsidRPr="00CF30B8">
        <w:rPr>
          <w:szCs w:val="24"/>
        </w:rPr>
        <w:t>.</w:t>
      </w:r>
      <w:r w:rsidR="009C3293" w:rsidRPr="00CF30B8">
        <w:rPr>
          <w:szCs w:val="24"/>
        </w:rPr>
        <w:t xml:space="preserve"> </w:t>
      </w:r>
      <w:r w:rsidR="00DC17DA" w:rsidRPr="00CF30B8">
        <w:rPr>
          <w:szCs w:val="24"/>
        </w:rPr>
        <w:t>Section</w:t>
      </w:r>
      <w:r w:rsidR="009C3293" w:rsidRPr="00CF30B8">
        <w:rPr>
          <w:szCs w:val="24"/>
        </w:rPr>
        <w:t xml:space="preserve"> 118(5) provides that subsection (3)</w:t>
      </w:r>
      <w:r w:rsidR="00F206A7" w:rsidRPr="00CF30B8">
        <w:rPr>
          <w:szCs w:val="24"/>
        </w:rPr>
        <w:t xml:space="preserve"> ‘does not apply to any amount referred to in that subsectio</w:t>
      </w:r>
      <w:bookmarkStart w:id="12" w:name="_GoBack"/>
      <w:bookmarkEnd w:id="12"/>
      <w:r w:rsidR="00F206A7" w:rsidRPr="00CF30B8">
        <w:rPr>
          <w:szCs w:val="24"/>
        </w:rPr>
        <w:t>n that became due before a transfer of a residential property or a conversion of land tenure rights into ownership contemplated in subsection (4) took place’</w:t>
      </w:r>
      <w:r w:rsidR="00A81227" w:rsidRPr="00CF30B8">
        <w:rPr>
          <w:szCs w:val="24"/>
        </w:rPr>
        <w:t>.</w:t>
      </w:r>
      <w:r w:rsidR="00F206A7" w:rsidRPr="00CF30B8">
        <w:rPr>
          <w:szCs w:val="24"/>
        </w:rPr>
        <w:t xml:space="preserve"> Clearly, then, if </w:t>
      </w:r>
      <w:r w:rsidR="006D2E4B" w:rsidRPr="00CF30B8">
        <w:rPr>
          <w:szCs w:val="24"/>
        </w:rPr>
        <w:t>a limited</w:t>
      </w:r>
      <w:r w:rsidR="00F206A7" w:rsidRPr="00CF30B8">
        <w:rPr>
          <w:szCs w:val="24"/>
        </w:rPr>
        <w:t xml:space="preserve"> durati</w:t>
      </w:r>
      <w:r w:rsidR="007777CD" w:rsidRPr="00CF30B8">
        <w:rPr>
          <w:szCs w:val="24"/>
        </w:rPr>
        <w:t>on of the hypothec created by s </w:t>
      </w:r>
      <w:r w:rsidR="00F206A7" w:rsidRPr="00CF30B8">
        <w:rPr>
          <w:szCs w:val="24"/>
        </w:rPr>
        <w:t xml:space="preserve">118(3) </w:t>
      </w:r>
      <w:r w:rsidR="006D2E4B" w:rsidRPr="00CF30B8">
        <w:rPr>
          <w:szCs w:val="24"/>
        </w:rPr>
        <w:t xml:space="preserve">was ever contemplated in respect of property purchased at a sale in execution, the </w:t>
      </w:r>
      <w:r w:rsidR="007F56BC" w:rsidRPr="00CF30B8">
        <w:rPr>
          <w:szCs w:val="24"/>
        </w:rPr>
        <w:t>l</w:t>
      </w:r>
      <w:r w:rsidR="006D2E4B" w:rsidRPr="00CF30B8">
        <w:rPr>
          <w:szCs w:val="24"/>
        </w:rPr>
        <w:t xml:space="preserve">egislature would have made provision </w:t>
      </w:r>
      <w:r w:rsidR="006D2E4B" w:rsidRPr="00CF30B8">
        <w:rPr>
          <w:szCs w:val="24"/>
        </w:rPr>
        <w:lastRenderedPageBreak/>
        <w:t>for it.</w:t>
      </w:r>
      <w:r w:rsidR="00F07BB4" w:rsidRPr="00CF30B8">
        <w:rPr>
          <w:szCs w:val="24"/>
        </w:rPr>
        <w:t xml:space="preserve"> </w:t>
      </w:r>
      <w:proofErr w:type="gramStart"/>
      <w:r w:rsidR="00F07BB4" w:rsidRPr="00CF30B8">
        <w:rPr>
          <w:szCs w:val="24"/>
        </w:rPr>
        <w:t xml:space="preserve">(Compare </w:t>
      </w:r>
      <w:r w:rsidR="00F07BB4" w:rsidRPr="00CF30B8">
        <w:rPr>
          <w:i/>
          <w:szCs w:val="24"/>
        </w:rPr>
        <w:t>BOE Bank,</w:t>
      </w:r>
      <w:r w:rsidR="00F07BB4" w:rsidRPr="00CF30B8">
        <w:rPr>
          <w:szCs w:val="24"/>
        </w:rPr>
        <w:t xml:space="preserve"> </w:t>
      </w:r>
      <w:r w:rsidR="00925E69" w:rsidRPr="00CF30B8">
        <w:rPr>
          <w:szCs w:val="24"/>
        </w:rPr>
        <w:t>above</w:t>
      </w:r>
      <w:r w:rsidR="00F07BB4" w:rsidRPr="00CF30B8">
        <w:rPr>
          <w:szCs w:val="24"/>
        </w:rPr>
        <w:t xml:space="preserve">, </w:t>
      </w:r>
      <w:r w:rsidR="00D80DFC" w:rsidRPr="00CF30B8">
        <w:rPr>
          <w:szCs w:val="24"/>
        </w:rPr>
        <w:t>para 11</w:t>
      </w:r>
      <w:r w:rsidR="00D80DFC" w:rsidRPr="00CF30B8">
        <w:rPr>
          <w:rStyle w:val="FootnoteReference"/>
          <w:szCs w:val="24"/>
        </w:rPr>
        <w:footnoteReference w:id="17"/>
      </w:r>
      <w:r w:rsidR="00DC17DA" w:rsidRPr="00CF30B8">
        <w:rPr>
          <w:szCs w:val="24"/>
        </w:rPr>
        <w:t>.</w:t>
      </w:r>
      <w:r w:rsidR="00F07BB4" w:rsidRPr="00CF30B8">
        <w:rPr>
          <w:szCs w:val="24"/>
        </w:rPr>
        <w:t>)</w:t>
      </w:r>
      <w:proofErr w:type="gramEnd"/>
      <w:r w:rsidR="00F07BB4" w:rsidRPr="00CF30B8">
        <w:rPr>
          <w:szCs w:val="24"/>
        </w:rPr>
        <w:t xml:space="preserve"> </w:t>
      </w:r>
      <w:r w:rsidR="00850192" w:rsidRPr="00CF30B8">
        <w:rPr>
          <w:szCs w:val="24"/>
        </w:rPr>
        <w:t xml:space="preserve">It did </w:t>
      </w:r>
      <w:r w:rsidR="00F63DB8" w:rsidRPr="00CF30B8">
        <w:rPr>
          <w:szCs w:val="24"/>
        </w:rPr>
        <w:t>not do so and</w:t>
      </w:r>
      <w:r w:rsidR="00925E69" w:rsidRPr="00CF30B8">
        <w:rPr>
          <w:szCs w:val="24"/>
        </w:rPr>
        <w:t xml:space="preserve"> </w:t>
      </w:r>
      <w:r w:rsidR="00850192" w:rsidRPr="00CF30B8">
        <w:rPr>
          <w:szCs w:val="24"/>
        </w:rPr>
        <w:t xml:space="preserve">the exception contained in </w:t>
      </w:r>
      <w:proofErr w:type="spellStart"/>
      <w:r w:rsidR="00850192" w:rsidRPr="00CF30B8">
        <w:rPr>
          <w:szCs w:val="24"/>
        </w:rPr>
        <w:t>Voet</w:t>
      </w:r>
      <w:proofErr w:type="spellEnd"/>
      <w:r w:rsidR="00850192" w:rsidRPr="00CF30B8">
        <w:rPr>
          <w:szCs w:val="24"/>
        </w:rPr>
        <w:t xml:space="preserve"> 20.1.13 cannot, in my</w:t>
      </w:r>
      <w:r w:rsidR="00F07BB4" w:rsidRPr="00CF30B8">
        <w:rPr>
          <w:szCs w:val="24"/>
        </w:rPr>
        <w:t xml:space="preserve"> view, be read into</w:t>
      </w:r>
      <w:r w:rsidR="00192D09" w:rsidRPr="00CF30B8">
        <w:rPr>
          <w:szCs w:val="24"/>
        </w:rPr>
        <w:t xml:space="preserve"> s </w:t>
      </w:r>
      <w:r w:rsidR="00850192" w:rsidRPr="00CF30B8">
        <w:rPr>
          <w:szCs w:val="24"/>
        </w:rPr>
        <w:t>118(3) of the Act.</w:t>
      </w:r>
      <w:r w:rsidR="006D2E4B" w:rsidRPr="00CF30B8">
        <w:rPr>
          <w:szCs w:val="24"/>
        </w:rPr>
        <w:t xml:space="preserve"> </w:t>
      </w:r>
      <w:r w:rsidR="00AF6BDF" w:rsidRPr="00CF30B8">
        <w:rPr>
          <w:szCs w:val="24"/>
        </w:rPr>
        <w:t>No distinct</w:t>
      </w:r>
      <w:r w:rsidR="00F6790A" w:rsidRPr="00CF30B8">
        <w:rPr>
          <w:szCs w:val="24"/>
        </w:rPr>
        <w:t xml:space="preserve">ion can therefore be drawn between </w:t>
      </w:r>
      <w:proofErr w:type="gramStart"/>
      <w:r w:rsidR="001D6028" w:rsidRPr="00CF30B8">
        <w:rPr>
          <w:szCs w:val="24"/>
        </w:rPr>
        <w:t>property</w:t>
      </w:r>
      <w:proofErr w:type="gramEnd"/>
      <w:r w:rsidR="001D6028" w:rsidRPr="00CF30B8">
        <w:rPr>
          <w:szCs w:val="24"/>
        </w:rPr>
        <w:t xml:space="preserve"> </w:t>
      </w:r>
      <w:r w:rsidR="00F6790A" w:rsidRPr="00CF30B8">
        <w:rPr>
          <w:szCs w:val="24"/>
        </w:rPr>
        <w:t xml:space="preserve">sold </w:t>
      </w:r>
      <w:r w:rsidR="00925E69" w:rsidRPr="00CF30B8">
        <w:rPr>
          <w:szCs w:val="24"/>
        </w:rPr>
        <w:t xml:space="preserve">either </w:t>
      </w:r>
      <w:r w:rsidR="00F6790A" w:rsidRPr="00CF30B8">
        <w:rPr>
          <w:szCs w:val="24"/>
        </w:rPr>
        <w:t xml:space="preserve">at a sale in execution or in a private sale </w:t>
      </w:r>
      <w:r w:rsidR="00925E69" w:rsidRPr="00CF30B8">
        <w:rPr>
          <w:szCs w:val="24"/>
        </w:rPr>
        <w:t xml:space="preserve">when </w:t>
      </w:r>
      <w:r w:rsidR="00F6790A" w:rsidRPr="00CF30B8">
        <w:rPr>
          <w:szCs w:val="24"/>
        </w:rPr>
        <w:t>considering the question whether the</w:t>
      </w:r>
      <w:r w:rsidR="007777CD" w:rsidRPr="00CF30B8">
        <w:rPr>
          <w:szCs w:val="24"/>
        </w:rPr>
        <w:t xml:space="preserve"> hypothec created by s </w:t>
      </w:r>
      <w:r w:rsidR="00F6790A" w:rsidRPr="00CF30B8">
        <w:rPr>
          <w:szCs w:val="24"/>
        </w:rPr>
        <w:t xml:space="preserve">118(3) survives transfer. </w:t>
      </w:r>
      <w:r w:rsidR="00F07BB4" w:rsidRPr="00CF30B8">
        <w:rPr>
          <w:szCs w:val="24"/>
        </w:rPr>
        <w:t xml:space="preserve">It follows that the court below erred </w:t>
      </w:r>
      <w:r w:rsidR="00E17B81" w:rsidRPr="00CF30B8">
        <w:rPr>
          <w:szCs w:val="24"/>
        </w:rPr>
        <w:t>in concluding that the appellant’s statutory hypothec had been extinguished by the sale in execution and</w:t>
      </w:r>
      <w:r w:rsidR="00845CA1" w:rsidRPr="00CF30B8">
        <w:rPr>
          <w:szCs w:val="24"/>
        </w:rPr>
        <w:t xml:space="preserve"> subsequent</w:t>
      </w:r>
      <w:r w:rsidR="00E17B81" w:rsidRPr="00CF30B8">
        <w:rPr>
          <w:szCs w:val="24"/>
        </w:rPr>
        <w:t xml:space="preserve"> transfer</w:t>
      </w:r>
      <w:r w:rsidR="00845CA1" w:rsidRPr="00CF30B8">
        <w:rPr>
          <w:szCs w:val="24"/>
        </w:rPr>
        <w:t xml:space="preserve"> of the property into the name of the respondent</w:t>
      </w:r>
      <w:r w:rsidR="007777CD" w:rsidRPr="00CF30B8">
        <w:rPr>
          <w:szCs w:val="24"/>
        </w:rPr>
        <w:t>.</w:t>
      </w:r>
    </w:p>
    <w:p w:rsidR="00082A59" w:rsidRPr="00CF30B8" w:rsidRDefault="00082A59" w:rsidP="00082A59">
      <w:pPr>
        <w:pStyle w:val="Sectionnumbering"/>
        <w:numPr>
          <w:ilvl w:val="0"/>
          <w:numId w:val="0"/>
        </w:numPr>
        <w:spacing w:before="0" w:after="0"/>
        <w:rPr>
          <w:szCs w:val="24"/>
        </w:rPr>
      </w:pPr>
    </w:p>
    <w:p w:rsidR="000E3F84" w:rsidRPr="00CF30B8" w:rsidRDefault="00B75983" w:rsidP="00B75983">
      <w:pPr>
        <w:pStyle w:val="Sectionnumbering"/>
        <w:numPr>
          <w:ilvl w:val="0"/>
          <w:numId w:val="0"/>
        </w:numPr>
        <w:spacing w:before="0" w:after="0"/>
        <w:rPr>
          <w:szCs w:val="24"/>
        </w:rPr>
      </w:pPr>
      <w:r w:rsidRPr="00CF30B8">
        <w:rPr>
          <w:szCs w:val="24"/>
        </w:rPr>
        <w:t>[17]</w:t>
      </w:r>
      <w:r w:rsidRPr="00CF30B8">
        <w:rPr>
          <w:szCs w:val="24"/>
        </w:rPr>
        <w:tab/>
      </w:r>
      <w:r w:rsidR="00925E69" w:rsidRPr="00CF30B8">
        <w:rPr>
          <w:szCs w:val="24"/>
        </w:rPr>
        <w:t>C</w:t>
      </w:r>
      <w:r w:rsidR="00845CA1" w:rsidRPr="00CF30B8">
        <w:rPr>
          <w:szCs w:val="24"/>
        </w:rPr>
        <w:t>ounsel for the respondent</w:t>
      </w:r>
      <w:r w:rsidR="00925E69" w:rsidRPr="00CF30B8">
        <w:rPr>
          <w:szCs w:val="24"/>
        </w:rPr>
        <w:t>, however,</w:t>
      </w:r>
      <w:r w:rsidR="00841872" w:rsidRPr="00CF30B8">
        <w:rPr>
          <w:szCs w:val="24"/>
        </w:rPr>
        <w:t xml:space="preserve"> </w:t>
      </w:r>
      <w:r w:rsidR="00EC1A9F" w:rsidRPr="00CF30B8">
        <w:rPr>
          <w:szCs w:val="24"/>
        </w:rPr>
        <w:t>submitted</w:t>
      </w:r>
      <w:r w:rsidR="00845CA1" w:rsidRPr="00CF30B8">
        <w:rPr>
          <w:szCs w:val="24"/>
        </w:rPr>
        <w:t xml:space="preserve"> that </w:t>
      </w:r>
      <w:r w:rsidR="00841872" w:rsidRPr="00CF30B8">
        <w:rPr>
          <w:szCs w:val="24"/>
        </w:rPr>
        <w:t>s</w:t>
      </w:r>
      <w:r w:rsidR="00192D09" w:rsidRPr="00CF30B8">
        <w:rPr>
          <w:szCs w:val="24"/>
        </w:rPr>
        <w:t> </w:t>
      </w:r>
      <w:r w:rsidR="00841872" w:rsidRPr="00CF30B8">
        <w:rPr>
          <w:szCs w:val="24"/>
        </w:rPr>
        <w:t>118(3) of the Act must be interpreted in accordance with the</w:t>
      </w:r>
      <w:r w:rsidR="00845CA1" w:rsidRPr="00CF30B8">
        <w:rPr>
          <w:szCs w:val="24"/>
        </w:rPr>
        <w:t xml:space="preserve"> common law</w:t>
      </w:r>
      <w:r w:rsidR="00C14B96" w:rsidRPr="00CF30B8">
        <w:rPr>
          <w:szCs w:val="24"/>
        </w:rPr>
        <w:t>,</w:t>
      </w:r>
      <w:r w:rsidR="00845CA1" w:rsidRPr="00CF30B8">
        <w:rPr>
          <w:szCs w:val="24"/>
        </w:rPr>
        <w:t xml:space="preserve"> </w:t>
      </w:r>
      <w:r w:rsidR="006B1C91" w:rsidRPr="00CF30B8">
        <w:rPr>
          <w:szCs w:val="24"/>
        </w:rPr>
        <w:t>in terms of which</w:t>
      </w:r>
      <w:r w:rsidR="00CF7A04" w:rsidRPr="00CF30B8">
        <w:rPr>
          <w:szCs w:val="24"/>
        </w:rPr>
        <w:t>, he contended,</w:t>
      </w:r>
      <w:r w:rsidR="006B1C91" w:rsidRPr="00CF30B8">
        <w:rPr>
          <w:szCs w:val="24"/>
        </w:rPr>
        <w:t xml:space="preserve"> </w:t>
      </w:r>
      <w:r w:rsidR="00845CA1" w:rsidRPr="00CF30B8">
        <w:rPr>
          <w:szCs w:val="24"/>
        </w:rPr>
        <w:t xml:space="preserve">a hypothec </w:t>
      </w:r>
      <w:r w:rsidR="00CF7A04" w:rsidRPr="00CF30B8">
        <w:rPr>
          <w:szCs w:val="24"/>
        </w:rPr>
        <w:t>‘is upon transfer</w:t>
      </w:r>
      <w:r w:rsidR="00845CA1" w:rsidRPr="00CF30B8">
        <w:rPr>
          <w:szCs w:val="24"/>
        </w:rPr>
        <w:t xml:space="preserve"> </w:t>
      </w:r>
      <w:r w:rsidR="00CF7A04" w:rsidRPr="00CF30B8">
        <w:rPr>
          <w:szCs w:val="24"/>
        </w:rPr>
        <w:t xml:space="preserve">of the property </w:t>
      </w:r>
      <w:r w:rsidR="00845CA1" w:rsidRPr="00CF30B8">
        <w:rPr>
          <w:szCs w:val="24"/>
        </w:rPr>
        <w:t xml:space="preserve">extinguished </w:t>
      </w:r>
      <w:r w:rsidR="00CF7A04" w:rsidRPr="00CF30B8">
        <w:rPr>
          <w:szCs w:val="24"/>
        </w:rPr>
        <w:t>and the new owner obtains a clean title to the ownership of the property free of security’ when mortgaged property has been sold at a sale in execution. In such a case, counsel argued, the p</w:t>
      </w:r>
      <w:r w:rsidR="00845CA1" w:rsidRPr="00CF30B8">
        <w:rPr>
          <w:szCs w:val="24"/>
        </w:rPr>
        <w:t xml:space="preserve">rice replaces the property and is shared by the hypothec creditors, in order of preference, with </w:t>
      </w:r>
      <w:r w:rsidR="00CF7A04" w:rsidRPr="00CF30B8">
        <w:rPr>
          <w:szCs w:val="24"/>
        </w:rPr>
        <w:t xml:space="preserve">the rest of </w:t>
      </w:r>
      <w:r w:rsidR="00845CA1" w:rsidRPr="00CF30B8">
        <w:rPr>
          <w:szCs w:val="24"/>
        </w:rPr>
        <w:t xml:space="preserve">the creditors. </w:t>
      </w:r>
      <w:r w:rsidR="00CF7A04" w:rsidRPr="00CF30B8">
        <w:rPr>
          <w:szCs w:val="24"/>
        </w:rPr>
        <w:t>In this regard</w:t>
      </w:r>
      <w:r w:rsidR="00925E69" w:rsidRPr="00CF30B8">
        <w:rPr>
          <w:szCs w:val="24"/>
        </w:rPr>
        <w:t>,</w:t>
      </w:r>
      <w:r w:rsidR="00CF7A04" w:rsidRPr="00CF30B8">
        <w:rPr>
          <w:szCs w:val="24"/>
        </w:rPr>
        <w:t xml:space="preserve"> counsel relied</w:t>
      </w:r>
      <w:r w:rsidR="007C510E" w:rsidRPr="00CF30B8">
        <w:rPr>
          <w:szCs w:val="24"/>
        </w:rPr>
        <w:t>, among others,</w:t>
      </w:r>
      <w:r w:rsidR="00CF7A04" w:rsidRPr="00CF30B8">
        <w:rPr>
          <w:szCs w:val="24"/>
        </w:rPr>
        <w:t xml:space="preserve"> on</w:t>
      </w:r>
      <w:r w:rsidR="007C510E" w:rsidRPr="00CF30B8">
        <w:rPr>
          <w:szCs w:val="24"/>
        </w:rPr>
        <w:t xml:space="preserve"> the judgment of this court in</w:t>
      </w:r>
      <w:r w:rsidR="00CF7A04" w:rsidRPr="00CF30B8">
        <w:rPr>
          <w:szCs w:val="24"/>
        </w:rPr>
        <w:t xml:space="preserve"> </w:t>
      </w:r>
      <w:r w:rsidR="007C510E" w:rsidRPr="00CF30B8">
        <w:rPr>
          <w:i/>
          <w:szCs w:val="24"/>
        </w:rPr>
        <w:t xml:space="preserve">Land </w:t>
      </w:r>
      <w:proofErr w:type="spellStart"/>
      <w:r w:rsidR="007C510E" w:rsidRPr="00CF30B8">
        <w:rPr>
          <w:i/>
          <w:szCs w:val="24"/>
        </w:rPr>
        <w:t>en</w:t>
      </w:r>
      <w:proofErr w:type="spellEnd"/>
      <w:r w:rsidR="007C510E" w:rsidRPr="00CF30B8">
        <w:rPr>
          <w:i/>
          <w:szCs w:val="24"/>
        </w:rPr>
        <w:t xml:space="preserve"> </w:t>
      </w:r>
      <w:proofErr w:type="spellStart"/>
      <w:r w:rsidR="007C510E" w:rsidRPr="00CF30B8">
        <w:rPr>
          <w:i/>
          <w:szCs w:val="24"/>
        </w:rPr>
        <w:t>Landboubank</w:t>
      </w:r>
      <w:proofErr w:type="spellEnd"/>
      <w:r w:rsidR="007C510E" w:rsidRPr="00CF30B8">
        <w:rPr>
          <w:i/>
          <w:szCs w:val="24"/>
        </w:rPr>
        <w:t xml:space="preserve"> van </w:t>
      </w:r>
      <w:proofErr w:type="spellStart"/>
      <w:r w:rsidR="007C510E" w:rsidRPr="00CF30B8">
        <w:rPr>
          <w:i/>
          <w:szCs w:val="24"/>
        </w:rPr>
        <w:t>Suid-Afrika</w:t>
      </w:r>
      <w:proofErr w:type="spellEnd"/>
      <w:r w:rsidR="007C510E" w:rsidRPr="00CF30B8">
        <w:rPr>
          <w:i/>
          <w:szCs w:val="24"/>
        </w:rPr>
        <w:t xml:space="preserve"> v Absa Bank </w:t>
      </w:r>
      <w:proofErr w:type="spellStart"/>
      <w:r w:rsidR="007C510E" w:rsidRPr="00CF30B8">
        <w:rPr>
          <w:i/>
          <w:szCs w:val="24"/>
        </w:rPr>
        <w:t>Bpk</w:t>
      </w:r>
      <w:proofErr w:type="spellEnd"/>
      <w:r w:rsidR="007C510E" w:rsidRPr="00CF30B8">
        <w:rPr>
          <w:i/>
          <w:szCs w:val="24"/>
        </w:rPr>
        <w:t xml:space="preserve"> </w:t>
      </w:r>
      <w:proofErr w:type="spellStart"/>
      <w:r w:rsidR="007C510E" w:rsidRPr="00CF30B8">
        <w:rPr>
          <w:i/>
          <w:szCs w:val="24"/>
        </w:rPr>
        <w:t>en</w:t>
      </w:r>
      <w:proofErr w:type="spellEnd"/>
      <w:r w:rsidR="007C510E" w:rsidRPr="00CF30B8">
        <w:rPr>
          <w:i/>
          <w:szCs w:val="24"/>
        </w:rPr>
        <w:t xml:space="preserve"> </w:t>
      </w:r>
      <w:proofErr w:type="spellStart"/>
      <w:r w:rsidR="007C510E" w:rsidRPr="00CF30B8">
        <w:rPr>
          <w:i/>
          <w:szCs w:val="24"/>
        </w:rPr>
        <w:t>ander</w:t>
      </w:r>
      <w:r w:rsidR="00AC4DBC" w:rsidRPr="00CF30B8">
        <w:rPr>
          <w:i/>
          <w:szCs w:val="24"/>
        </w:rPr>
        <w:t>e</w:t>
      </w:r>
      <w:proofErr w:type="spellEnd"/>
      <w:r w:rsidR="00AC4DBC" w:rsidRPr="00CF30B8">
        <w:rPr>
          <w:i/>
          <w:szCs w:val="24"/>
        </w:rPr>
        <w:t>, (</w:t>
      </w:r>
      <w:r w:rsidR="007C510E" w:rsidRPr="00CF30B8">
        <w:rPr>
          <w:szCs w:val="24"/>
        </w:rPr>
        <w:t>519/94) [1996] ZASCA 76</w:t>
      </w:r>
      <w:r w:rsidR="00845CA1" w:rsidRPr="00CF30B8">
        <w:rPr>
          <w:szCs w:val="24"/>
        </w:rPr>
        <w:t xml:space="preserve"> </w:t>
      </w:r>
      <w:r w:rsidR="007C510E" w:rsidRPr="00CF30B8">
        <w:rPr>
          <w:szCs w:val="24"/>
        </w:rPr>
        <w:t xml:space="preserve">(11June 1996); 1996 (4) SA 543 (A). In that </w:t>
      </w:r>
      <w:r w:rsidR="000E3F84" w:rsidRPr="00CF30B8">
        <w:rPr>
          <w:szCs w:val="24"/>
        </w:rPr>
        <w:t>matter</w:t>
      </w:r>
      <w:r w:rsidR="00925E69" w:rsidRPr="00CF30B8">
        <w:rPr>
          <w:szCs w:val="24"/>
        </w:rPr>
        <w:t>,</w:t>
      </w:r>
      <w:r w:rsidR="000E3F84" w:rsidRPr="00CF30B8">
        <w:rPr>
          <w:szCs w:val="24"/>
        </w:rPr>
        <w:t xml:space="preserve"> </w:t>
      </w:r>
      <w:proofErr w:type="spellStart"/>
      <w:r w:rsidR="000E3F84" w:rsidRPr="00CF30B8">
        <w:rPr>
          <w:szCs w:val="24"/>
        </w:rPr>
        <w:t>Hefer</w:t>
      </w:r>
      <w:proofErr w:type="spellEnd"/>
      <w:r w:rsidR="00925E69" w:rsidRPr="00CF30B8">
        <w:rPr>
          <w:szCs w:val="24"/>
        </w:rPr>
        <w:t> </w:t>
      </w:r>
      <w:r w:rsidR="000E3F84" w:rsidRPr="00CF30B8">
        <w:rPr>
          <w:szCs w:val="24"/>
        </w:rPr>
        <w:t>JA dealt</w:t>
      </w:r>
      <w:r w:rsidR="001E3076" w:rsidRPr="00CF30B8">
        <w:rPr>
          <w:szCs w:val="24"/>
        </w:rPr>
        <w:t xml:space="preserve"> with the interpretation and effect of s 55(2</w:t>
      </w:r>
      <w:proofErr w:type="gramStart"/>
      <w:r w:rsidR="001E3076" w:rsidRPr="00CF30B8">
        <w:rPr>
          <w:szCs w:val="24"/>
        </w:rPr>
        <w:t>)</w:t>
      </w:r>
      <w:r w:rsidR="001E3076" w:rsidRPr="00CF30B8">
        <w:rPr>
          <w:i/>
          <w:szCs w:val="24"/>
        </w:rPr>
        <w:t>(</w:t>
      </w:r>
      <w:proofErr w:type="gramEnd"/>
      <w:r w:rsidR="001E3076" w:rsidRPr="00CF30B8">
        <w:rPr>
          <w:i/>
          <w:szCs w:val="24"/>
        </w:rPr>
        <w:t>c)</w:t>
      </w:r>
      <w:r w:rsidR="001E3076" w:rsidRPr="00CF30B8">
        <w:rPr>
          <w:szCs w:val="24"/>
        </w:rPr>
        <w:t xml:space="preserve"> of the Land Bank Act 13 of 1944, as amended</w:t>
      </w:r>
      <w:r w:rsidR="00B478A8" w:rsidRPr="00CF30B8">
        <w:rPr>
          <w:szCs w:val="24"/>
        </w:rPr>
        <w:t xml:space="preserve">. The Land Bank Act authorised </w:t>
      </w:r>
      <w:r w:rsidR="005A4C35" w:rsidRPr="00CF30B8">
        <w:rPr>
          <w:szCs w:val="24"/>
        </w:rPr>
        <w:t xml:space="preserve">the </w:t>
      </w:r>
      <w:r w:rsidR="00B478A8" w:rsidRPr="00CF30B8">
        <w:rPr>
          <w:szCs w:val="24"/>
        </w:rPr>
        <w:t>Land Bank</w:t>
      </w:r>
      <w:r w:rsidR="001E3076" w:rsidRPr="00CF30B8">
        <w:rPr>
          <w:szCs w:val="24"/>
        </w:rPr>
        <w:t xml:space="preserve"> </w:t>
      </w:r>
      <w:r w:rsidR="00B478A8" w:rsidRPr="00CF30B8">
        <w:rPr>
          <w:szCs w:val="24"/>
        </w:rPr>
        <w:t xml:space="preserve">to </w:t>
      </w:r>
      <w:r w:rsidR="00A43D68" w:rsidRPr="00CF30B8">
        <w:rPr>
          <w:szCs w:val="24"/>
        </w:rPr>
        <w:t>obtain payment of a loan</w:t>
      </w:r>
      <w:r w:rsidR="003A6719" w:rsidRPr="00CF30B8">
        <w:rPr>
          <w:szCs w:val="24"/>
        </w:rPr>
        <w:t>,</w:t>
      </w:r>
      <w:r w:rsidR="00A43D68" w:rsidRPr="00CF30B8">
        <w:rPr>
          <w:szCs w:val="24"/>
        </w:rPr>
        <w:t xml:space="preserve"> which it had advanced and had been secured by mortgage bond</w:t>
      </w:r>
      <w:r w:rsidR="003A6719" w:rsidRPr="00CF30B8">
        <w:rPr>
          <w:szCs w:val="24"/>
        </w:rPr>
        <w:t>,</w:t>
      </w:r>
      <w:r w:rsidR="00A43D68" w:rsidRPr="00CF30B8">
        <w:rPr>
          <w:szCs w:val="24"/>
        </w:rPr>
        <w:t xml:space="preserve"> by selling the </w:t>
      </w:r>
      <w:r w:rsidR="00BA645F" w:rsidRPr="00CF30B8">
        <w:rPr>
          <w:szCs w:val="24"/>
        </w:rPr>
        <w:t xml:space="preserve">mortgaged </w:t>
      </w:r>
      <w:r w:rsidR="00A43D68" w:rsidRPr="00CF30B8">
        <w:rPr>
          <w:szCs w:val="24"/>
        </w:rPr>
        <w:t>property by pu</w:t>
      </w:r>
      <w:r w:rsidR="00BA645F" w:rsidRPr="00CF30B8">
        <w:rPr>
          <w:szCs w:val="24"/>
        </w:rPr>
        <w:t xml:space="preserve">blic auction without </w:t>
      </w:r>
      <w:r w:rsidR="00C14B96" w:rsidRPr="00CF30B8">
        <w:rPr>
          <w:szCs w:val="24"/>
        </w:rPr>
        <w:t xml:space="preserve">following </w:t>
      </w:r>
      <w:r w:rsidR="00BA645F" w:rsidRPr="00CF30B8">
        <w:rPr>
          <w:szCs w:val="24"/>
        </w:rPr>
        <w:t>any</w:t>
      </w:r>
      <w:r w:rsidR="00A43D68" w:rsidRPr="00CF30B8">
        <w:rPr>
          <w:szCs w:val="24"/>
        </w:rPr>
        <w:t xml:space="preserve"> judicial process and to apply the proceeds of the sale to settle the amount due to it.</w:t>
      </w:r>
      <w:r w:rsidR="00BA645F" w:rsidRPr="00CF30B8">
        <w:rPr>
          <w:szCs w:val="24"/>
        </w:rPr>
        <w:t xml:space="preserve"> Section 55(2)</w:t>
      </w:r>
      <w:r w:rsidR="00BA645F" w:rsidRPr="00CF30B8">
        <w:rPr>
          <w:i/>
          <w:szCs w:val="24"/>
        </w:rPr>
        <w:t>(c)</w:t>
      </w:r>
      <w:r w:rsidR="001E3076" w:rsidRPr="00CF30B8">
        <w:rPr>
          <w:szCs w:val="24"/>
        </w:rPr>
        <w:t xml:space="preserve"> provided</w:t>
      </w:r>
      <w:r w:rsidR="00BA645F" w:rsidRPr="00CF30B8">
        <w:rPr>
          <w:szCs w:val="24"/>
        </w:rPr>
        <w:t>, in summary,</w:t>
      </w:r>
      <w:r w:rsidR="001E3076" w:rsidRPr="00CF30B8">
        <w:rPr>
          <w:szCs w:val="24"/>
        </w:rPr>
        <w:t xml:space="preserve"> that</w:t>
      </w:r>
      <w:r w:rsidR="000D0509" w:rsidRPr="00CF30B8">
        <w:rPr>
          <w:szCs w:val="24"/>
        </w:rPr>
        <w:t xml:space="preserve"> the board (of </w:t>
      </w:r>
      <w:r w:rsidR="00C14B96" w:rsidRPr="00CF30B8">
        <w:rPr>
          <w:szCs w:val="24"/>
        </w:rPr>
        <w:t xml:space="preserve">the </w:t>
      </w:r>
      <w:r w:rsidR="00BA645F" w:rsidRPr="00CF30B8">
        <w:rPr>
          <w:szCs w:val="24"/>
        </w:rPr>
        <w:t xml:space="preserve">Land Bank) could transfer </w:t>
      </w:r>
      <w:r w:rsidR="00B05691" w:rsidRPr="00CF30B8">
        <w:rPr>
          <w:szCs w:val="24"/>
        </w:rPr>
        <w:t xml:space="preserve">the mortgaged property to </w:t>
      </w:r>
      <w:r w:rsidR="00BA645F" w:rsidRPr="00CF30B8">
        <w:rPr>
          <w:szCs w:val="24"/>
        </w:rPr>
        <w:t>the purchaser</w:t>
      </w:r>
      <w:r w:rsidR="00904437" w:rsidRPr="00CF30B8">
        <w:rPr>
          <w:szCs w:val="24"/>
        </w:rPr>
        <w:t xml:space="preserve"> and</w:t>
      </w:r>
      <w:r w:rsidR="00B05691" w:rsidRPr="00CF30B8">
        <w:rPr>
          <w:szCs w:val="24"/>
        </w:rPr>
        <w:t xml:space="preserve"> give the latter </w:t>
      </w:r>
      <w:r w:rsidR="00904437" w:rsidRPr="00CF30B8">
        <w:rPr>
          <w:szCs w:val="24"/>
        </w:rPr>
        <w:t xml:space="preserve">a </w:t>
      </w:r>
      <w:r w:rsidR="00B05691" w:rsidRPr="00CF30B8">
        <w:rPr>
          <w:szCs w:val="24"/>
        </w:rPr>
        <w:t xml:space="preserve">legally valid </w:t>
      </w:r>
      <w:r w:rsidR="00904437" w:rsidRPr="00CF30B8">
        <w:rPr>
          <w:szCs w:val="24"/>
        </w:rPr>
        <w:t>title (</w:t>
      </w:r>
      <w:proofErr w:type="spellStart"/>
      <w:r w:rsidR="00904437" w:rsidRPr="00CF30B8">
        <w:rPr>
          <w:szCs w:val="24"/>
        </w:rPr>
        <w:t>regsgeldige</w:t>
      </w:r>
      <w:proofErr w:type="spellEnd"/>
      <w:r w:rsidR="00904437" w:rsidRPr="00CF30B8">
        <w:rPr>
          <w:szCs w:val="24"/>
        </w:rPr>
        <w:t xml:space="preserve"> </w:t>
      </w:r>
      <w:proofErr w:type="spellStart"/>
      <w:r w:rsidR="00B05691" w:rsidRPr="00CF30B8">
        <w:rPr>
          <w:szCs w:val="24"/>
        </w:rPr>
        <w:t>tite</w:t>
      </w:r>
      <w:r w:rsidR="00904437" w:rsidRPr="00CF30B8">
        <w:rPr>
          <w:szCs w:val="24"/>
        </w:rPr>
        <w:t>l</w:t>
      </w:r>
      <w:proofErr w:type="spellEnd"/>
      <w:r w:rsidR="00904437" w:rsidRPr="00CF30B8">
        <w:rPr>
          <w:szCs w:val="24"/>
        </w:rPr>
        <w:t>),</w:t>
      </w:r>
      <w:r w:rsidR="00B05691" w:rsidRPr="00CF30B8">
        <w:rPr>
          <w:szCs w:val="24"/>
        </w:rPr>
        <w:t xml:space="preserve"> </w:t>
      </w:r>
      <w:r w:rsidR="00904437" w:rsidRPr="00CF30B8">
        <w:rPr>
          <w:szCs w:val="24"/>
        </w:rPr>
        <w:t xml:space="preserve">even though </w:t>
      </w:r>
      <w:r w:rsidR="00B05691" w:rsidRPr="00CF30B8">
        <w:rPr>
          <w:szCs w:val="24"/>
        </w:rPr>
        <w:t>t</w:t>
      </w:r>
      <w:r w:rsidR="00904437" w:rsidRPr="00CF30B8">
        <w:rPr>
          <w:szCs w:val="24"/>
        </w:rPr>
        <w:t>he property</w:t>
      </w:r>
      <w:r w:rsidR="00B05691" w:rsidRPr="00CF30B8">
        <w:rPr>
          <w:szCs w:val="24"/>
        </w:rPr>
        <w:t xml:space="preserve"> may have been hypothecated or had been subject to a </w:t>
      </w:r>
      <w:r w:rsidR="000F7749" w:rsidRPr="00CF30B8">
        <w:rPr>
          <w:szCs w:val="24"/>
        </w:rPr>
        <w:t>right of retention or an encumb</w:t>
      </w:r>
      <w:r w:rsidR="00192D09" w:rsidRPr="00CF30B8">
        <w:rPr>
          <w:szCs w:val="24"/>
        </w:rPr>
        <w:t>rance in favour of another.</w:t>
      </w:r>
    </w:p>
    <w:p w:rsidR="00192D09" w:rsidRPr="00CF30B8" w:rsidRDefault="00192D09" w:rsidP="00192D09">
      <w:pPr>
        <w:pStyle w:val="Sectionnumbering"/>
        <w:numPr>
          <w:ilvl w:val="0"/>
          <w:numId w:val="0"/>
        </w:numPr>
        <w:spacing w:before="0" w:after="0"/>
        <w:rPr>
          <w:szCs w:val="24"/>
        </w:rPr>
      </w:pPr>
    </w:p>
    <w:p w:rsidR="00120619" w:rsidRPr="00CF30B8" w:rsidRDefault="00B75983" w:rsidP="00B75983">
      <w:pPr>
        <w:pStyle w:val="Sectionnumbering"/>
        <w:numPr>
          <w:ilvl w:val="0"/>
          <w:numId w:val="0"/>
        </w:numPr>
        <w:spacing w:before="0" w:after="0"/>
        <w:rPr>
          <w:szCs w:val="24"/>
        </w:rPr>
      </w:pPr>
      <w:r w:rsidRPr="00CF30B8">
        <w:rPr>
          <w:szCs w:val="24"/>
        </w:rPr>
        <w:lastRenderedPageBreak/>
        <w:t>[18]</w:t>
      </w:r>
      <w:r w:rsidRPr="00CF30B8">
        <w:rPr>
          <w:szCs w:val="24"/>
        </w:rPr>
        <w:tab/>
      </w:r>
      <w:r w:rsidR="00B05691" w:rsidRPr="00CF30B8">
        <w:rPr>
          <w:szCs w:val="24"/>
        </w:rPr>
        <w:t>In the course of considering the meaning of</w:t>
      </w:r>
      <w:r w:rsidR="003A6719" w:rsidRPr="00CF30B8">
        <w:rPr>
          <w:szCs w:val="24"/>
        </w:rPr>
        <w:t xml:space="preserve"> the words</w:t>
      </w:r>
      <w:r w:rsidR="00B05691" w:rsidRPr="00CF30B8">
        <w:rPr>
          <w:szCs w:val="24"/>
        </w:rPr>
        <w:t xml:space="preserve"> </w:t>
      </w:r>
      <w:r w:rsidR="00AF6BDF" w:rsidRPr="00CF30B8">
        <w:rPr>
          <w:szCs w:val="24"/>
        </w:rPr>
        <w:t>‘</w:t>
      </w:r>
      <w:proofErr w:type="spellStart"/>
      <w:r w:rsidR="00AF6BDF" w:rsidRPr="00CF30B8">
        <w:rPr>
          <w:szCs w:val="24"/>
        </w:rPr>
        <w:t>regsgeldige</w:t>
      </w:r>
      <w:proofErr w:type="spellEnd"/>
      <w:r w:rsidR="00B05691" w:rsidRPr="00CF30B8">
        <w:rPr>
          <w:szCs w:val="24"/>
        </w:rPr>
        <w:t xml:space="preserve"> </w:t>
      </w:r>
      <w:proofErr w:type="spellStart"/>
      <w:r w:rsidR="00120619" w:rsidRPr="00CF30B8">
        <w:rPr>
          <w:szCs w:val="24"/>
        </w:rPr>
        <w:t>t</w:t>
      </w:r>
      <w:r w:rsidR="00B05691" w:rsidRPr="00CF30B8">
        <w:rPr>
          <w:szCs w:val="24"/>
        </w:rPr>
        <w:t>it</w:t>
      </w:r>
      <w:r w:rsidR="00120619" w:rsidRPr="00CF30B8">
        <w:rPr>
          <w:szCs w:val="24"/>
        </w:rPr>
        <w:t>e</w:t>
      </w:r>
      <w:r w:rsidR="00AF6BDF" w:rsidRPr="00CF30B8">
        <w:rPr>
          <w:szCs w:val="24"/>
        </w:rPr>
        <w:t>l</w:t>
      </w:r>
      <w:proofErr w:type="spellEnd"/>
      <w:r w:rsidR="00120619" w:rsidRPr="00CF30B8">
        <w:rPr>
          <w:szCs w:val="24"/>
        </w:rPr>
        <w:t>’</w:t>
      </w:r>
      <w:r w:rsidR="005A4C35" w:rsidRPr="00CF30B8">
        <w:rPr>
          <w:szCs w:val="24"/>
        </w:rPr>
        <w:t>,</w:t>
      </w:r>
      <w:r w:rsidR="00B05691" w:rsidRPr="00CF30B8">
        <w:rPr>
          <w:szCs w:val="24"/>
        </w:rPr>
        <w:t xml:space="preserve"> </w:t>
      </w:r>
      <w:proofErr w:type="spellStart"/>
      <w:r w:rsidR="00120619" w:rsidRPr="00CF30B8">
        <w:rPr>
          <w:szCs w:val="24"/>
        </w:rPr>
        <w:t>Hefer</w:t>
      </w:r>
      <w:proofErr w:type="spellEnd"/>
      <w:r w:rsidR="00120619" w:rsidRPr="00CF30B8">
        <w:rPr>
          <w:szCs w:val="24"/>
        </w:rPr>
        <w:t xml:space="preserve"> JA </w:t>
      </w:r>
      <w:r w:rsidR="00AF6BDF" w:rsidRPr="00CF30B8">
        <w:rPr>
          <w:szCs w:val="24"/>
        </w:rPr>
        <w:t>referred to</w:t>
      </w:r>
      <w:r w:rsidR="000D0509" w:rsidRPr="00CF30B8">
        <w:rPr>
          <w:szCs w:val="24"/>
        </w:rPr>
        <w:t xml:space="preserve"> the </w:t>
      </w:r>
      <w:r w:rsidR="000D0509" w:rsidRPr="00970337">
        <w:rPr>
          <w:szCs w:val="24"/>
          <w:highlight w:val="yellow"/>
        </w:rPr>
        <w:t>rights</w:t>
      </w:r>
      <w:r w:rsidR="00120619" w:rsidRPr="00970337">
        <w:rPr>
          <w:szCs w:val="24"/>
          <w:highlight w:val="yellow"/>
        </w:rPr>
        <w:t xml:space="preserve"> of a mortgagee when the property over which it</w:t>
      </w:r>
      <w:r w:rsidR="000D0509" w:rsidRPr="00970337">
        <w:rPr>
          <w:szCs w:val="24"/>
          <w:highlight w:val="yellow"/>
        </w:rPr>
        <w:t xml:space="preserve"> had</w:t>
      </w:r>
      <w:r w:rsidR="00120619" w:rsidRPr="00970337">
        <w:rPr>
          <w:szCs w:val="24"/>
          <w:highlight w:val="yellow"/>
        </w:rPr>
        <w:t xml:space="preserve"> h</w:t>
      </w:r>
      <w:r w:rsidR="000D0509" w:rsidRPr="00970337">
        <w:rPr>
          <w:szCs w:val="24"/>
          <w:highlight w:val="yellow"/>
        </w:rPr>
        <w:t>e</w:t>
      </w:r>
      <w:r w:rsidR="00120619" w:rsidRPr="00970337">
        <w:rPr>
          <w:szCs w:val="24"/>
          <w:highlight w:val="yellow"/>
        </w:rPr>
        <w:t>ld</w:t>
      </w:r>
      <w:r w:rsidR="000D0509" w:rsidRPr="00970337">
        <w:rPr>
          <w:szCs w:val="24"/>
          <w:highlight w:val="yellow"/>
        </w:rPr>
        <w:t xml:space="preserve"> security wa</w:t>
      </w:r>
      <w:r w:rsidR="00120619" w:rsidRPr="00970337">
        <w:rPr>
          <w:szCs w:val="24"/>
          <w:highlight w:val="yellow"/>
        </w:rPr>
        <w:t>s sold at a sale in execution</w:t>
      </w:r>
      <w:r w:rsidR="00120619" w:rsidRPr="00CF30B8">
        <w:rPr>
          <w:szCs w:val="24"/>
        </w:rPr>
        <w:t xml:space="preserve">. The learned </w:t>
      </w:r>
      <w:r w:rsidR="005A4C35" w:rsidRPr="00CF30B8">
        <w:rPr>
          <w:szCs w:val="24"/>
        </w:rPr>
        <w:t xml:space="preserve">judge </w:t>
      </w:r>
      <w:r w:rsidR="00120619" w:rsidRPr="00CF30B8">
        <w:rPr>
          <w:szCs w:val="24"/>
        </w:rPr>
        <w:t>of appeal said (at 550G</w:t>
      </w:r>
      <w:r w:rsidR="005A4C35" w:rsidRPr="00CF30B8">
        <w:rPr>
          <w:rFonts w:ascii="Calibri" w:hAnsi="Calibri"/>
          <w:szCs w:val="24"/>
        </w:rPr>
        <w:t>–</w:t>
      </w:r>
      <w:r w:rsidR="00120619" w:rsidRPr="00CF30B8">
        <w:rPr>
          <w:szCs w:val="24"/>
        </w:rPr>
        <w:t>H):</w:t>
      </w:r>
    </w:p>
    <w:p w:rsidR="007211CC" w:rsidRPr="00CF30B8" w:rsidRDefault="007211CC" w:rsidP="00082A59">
      <w:pPr>
        <w:pStyle w:val="Quote"/>
        <w:spacing w:before="0" w:after="0"/>
        <w:rPr>
          <w:sz w:val="24"/>
          <w:szCs w:val="24"/>
        </w:rPr>
      </w:pPr>
    </w:p>
    <w:p w:rsidR="00845CA1" w:rsidRPr="00CF30B8" w:rsidRDefault="00120619" w:rsidP="007211CC">
      <w:pPr>
        <w:pStyle w:val="Quote"/>
        <w:spacing w:before="0" w:after="0" w:line="240" w:lineRule="auto"/>
        <w:ind w:left="720"/>
        <w:rPr>
          <w:sz w:val="24"/>
          <w:szCs w:val="24"/>
        </w:rPr>
      </w:pPr>
      <w:r w:rsidRPr="00CF30B8">
        <w:rPr>
          <w:sz w:val="24"/>
          <w:szCs w:val="24"/>
        </w:rPr>
        <w:t xml:space="preserve">‘Word die </w:t>
      </w:r>
      <w:proofErr w:type="spellStart"/>
      <w:r w:rsidRPr="00CF30B8">
        <w:rPr>
          <w:sz w:val="24"/>
          <w:szCs w:val="24"/>
        </w:rPr>
        <w:t>grond</w:t>
      </w:r>
      <w:proofErr w:type="spellEnd"/>
      <w:r w:rsidRPr="00CF30B8">
        <w:rPr>
          <w:sz w:val="24"/>
          <w:szCs w:val="24"/>
        </w:rPr>
        <w:t xml:space="preserve"> in die </w:t>
      </w:r>
      <w:proofErr w:type="spellStart"/>
      <w:r w:rsidRPr="00CF30B8">
        <w:rPr>
          <w:sz w:val="24"/>
          <w:szCs w:val="24"/>
        </w:rPr>
        <w:t>uitvoering</w:t>
      </w:r>
      <w:proofErr w:type="spellEnd"/>
      <w:r w:rsidRPr="00CF30B8">
        <w:rPr>
          <w:sz w:val="24"/>
          <w:szCs w:val="24"/>
        </w:rPr>
        <w:t xml:space="preserve"> van ‘n </w:t>
      </w:r>
      <w:proofErr w:type="spellStart"/>
      <w:r w:rsidRPr="00CF30B8">
        <w:rPr>
          <w:sz w:val="24"/>
          <w:szCs w:val="24"/>
        </w:rPr>
        <w:t>hofbevel</w:t>
      </w:r>
      <w:proofErr w:type="spellEnd"/>
      <w:r w:rsidRPr="00CF30B8">
        <w:rPr>
          <w:sz w:val="24"/>
          <w:szCs w:val="24"/>
        </w:rPr>
        <w:t xml:space="preserve"> </w:t>
      </w:r>
      <w:proofErr w:type="spellStart"/>
      <w:r w:rsidRPr="00CF30B8">
        <w:rPr>
          <w:sz w:val="24"/>
          <w:szCs w:val="24"/>
        </w:rPr>
        <w:t>verkoop</w:t>
      </w:r>
      <w:proofErr w:type="spellEnd"/>
      <w:r w:rsidRPr="00CF30B8">
        <w:rPr>
          <w:sz w:val="24"/>
          <w:szCs w:val="24"/>
        </w:rPr>
        <w:t xml:space="preserve">, </w:t>
      </w:r>
      <w:proofErr w:type="spellStart"/>
      <w:r w:rsidRPr="00CF30B8">
        <w:rPr>
          <w:sz w:val="24"/>
          <w:szCs w:val="24"/>
        </w:rPr>
        <w:t>verloor</w:t>
      </w:r>
      <w:proofErr w:type="spellEnd"/>
      <w:r w:rsidRPr="00CF30B8">
        <w:rPr>
          <w:sz w:val="24"/>
          <w:szCs w:val="24"/>
        </w:rPr>
        <w:t xml:space="preserve"> </w:t>
      </w:r>
      <w:proofErr w:type="spellStart"/>
      <w:r w:rsidRPr="00CF30B8">
        <w:rPr>
          <w:sz w:val="24"/>
          <w:szCs w:val="24"/>
        </w:rPr>
        <w:t>verbandhouers</w:t>
      </w:r>
      <w:proofErr w:type="spellEnd"/>
      <w:r w:rsidR="00027607" w:rsidRPr="00CF30B8">
        <w:rPr>
          <w:sz w:val="24"/>
          <w:szCs w:val="24"/>
        </w:rPr>
        <w:t xml:space="preserve"> </w:t>
      </w:r>
      <w:proofErr w:type="spellStart"/>
      <w:r w:rsidR="00027607" w:rsidRPr="00CF30B8">
        <w:rPr>
          <w:sz w:val="24"/>
          <w:szCs w:val="24"/>
        </w:rPr>
        <w:t>hul</w:t>
      </w:r>
      <w:proofErr w:type="spellEnd"/>
      <w:r w:rsidR="00027607" w:rsidRPr="00CF30B8">
        <w:rPr>
          <w:sz w:val="24"/>
          <w:szCs w:val="24"/>
        </w:rPr>
        <w:t xml:space="preserve"> </w:t>
      </w:r>
      <w:proofErr w:type="spellStart"/>
      <w:r w:rsidR="00027607" w:rsidRPr="00CF30B8">
        <w:rPr>
          <w:sz w:val="24"/>
          <w:szCs w:val="24"/>
        </w:rPr>
        <w:t>regte</w:t>
      </w:r>
      <w:proofErr w:type="spellEnd"/>
      <w:r w:rsidR="00027607" w:rsidRPr="00CF30B8">
        <w:rPr>
          <w:sz w:val="24"/>
          <w:szCs w:val="24"/>
        </w:rPr>
        <w:t xml:space="preserve"> ten </w:t>
      </w:r>
      <w:proofErr w:type="spellStart"/>
      <w:r w:rsidR="00027607" w:rsidRPr="00CF30B8">
        <w:rPr>
          <w:sz w:val="24"/>
          <w:szCs w:val="24"/>
        </w:rPr>
        <w:t>opsigte</w:t>
      </w:r>
      <w:proofErr w:type="spellEnd"/>
      <w:r w:rsidR="00027607" w:rsidRPr="00CF30B8">
        <w:rPr>
          <w:sz w:val="24"/>
          <w:szCs w:val="24"/>
        </w:rPr>
        <w:t xml:space="preserve"> van die </w:t>
      </w:r>
      <w:proofErr w:type="spellStart"/>
      <w:r w:rsidR="00027607" w:rsidRPr="00CF30B8">
        <w:rPr>
          <w:sz w:val="24"/>
          <w:szCs w:val="24"/>
        </w:rPr>
        <w:t>grond</w:t>
      </w:r>
      <w:proofErr w:type="spellEnd"/>
      <w:r w:rsidRPr="00CF30B8">
        <w:rPr>
          <w:sz w:val="24"/>
          <w:szCs w:val="24"/>
        </w:rPr>
        <w:t xml:space="preserve"> </w:t>
      </w:r>
      <w:r w:rsidR="00027607" w:rsidRPr="00CF30B8">
        <w:rPr>
          <w:sz w:val="24"/>
          <w:szCs w:val="24"/>
        </w:rPr>
        <w:t xml:space="preserve">maar </w:t>
      </w:r>
      <w:proofErr w:type="spellStart"/>
      <w:r w:rsidR="00027607" w:rsidRPr="00CF30B8">
        <w:rPr>
          <w:sz w:val="24"/>
          <w:szCs w:val="24"/>
        </w:rPr>
        <w:t>hulle</w:t>
      </w:r>
      <w:proofErr w:type="spellEnd"/>
      <w:r w:rsidR="00027607" w:rsidRPr="00CF30B8">
        <w:rPr>
          <w:sz w:val="24"/>
          <w:szCs w:val="24"/>
        </w:rPr>
        <w:t xml:space="preserve"> </w:t>
      </w:r>
      <w:proofErr w:type="spellStart"/>
      <w:r w:rsidR="00027607" w:rsidRPr="00CF30B8">
        <w:rPr>
          <w:sz w:val="24"/>
          <w:szCs w:val="24"/>
        </w:rPr>
        <w:t>behou</w:t>
      </w:r>
      <w:proofErr w:type="spellEnd"/>
      <w:r w:rsidR="00027607" w:rsidRPr="00CF30B8">
        <w:rPr>
          <w:sz w:val="24"/>
          <w:szCs w:val="24"/>
        </w:rPr>
        <w:t xml:space="preserve"> </w:t>
      </w:r>
      <w:proofErr w:type="spellStart"/>
      <w:r w:rsidR="00027607" w:rsidRPr="00CF30B8">
        <w:rPr>
          <w:sz w:val="24"/>
          <w:szCs w:val="24"/>
        </w:rPr>
        <w:t>hul</w:t>
      </w:r>
      <w:proofErr w:type="spellEnd"/>
      <w:r w:rsidR="00027607" w:rsidRPr="00CF30B8">
        <w:rPr>
          <w:sz w:val="24"/>
          <w:szCs w:val="24"/>
        </w:rPr>
        <w:t xml:space="preserve"> </w:t>
      </w:r>
      <w:proofErr w:type="spellStart"/>
      <w:r w:rsidR="00027607" w:rsidRPr="00CF30B8">
        <w:rPr>
          <w:sz w:val="24"/>
          <w:szCs w:val="24"/>
        </w:rPr>
        <w:t>aanspraak</w:t>
      </w:r>
      <w:proofErr w:type="spellEnd"/>
      <w:r w:rsidR="00027607" w:rsidRPr="00CF30B8">
        <w:rPr>
          <w:sz w:val="24"/>
          <w:szCs w:val="24"/>
        </w:rPr>
        <w:t xml:space="preserve"> op </w:t>
      </w:r>
      <w:proofErr w:type="spellStart"/>
      <w:r w:rsidR="00027607" w:rsidRPr="00CF30B8">
        <w:rPr>
          <w:sz w:val="24"/>
          <w:szCs w:val="24"/>
        </w:rPr>
        <w:t>voorkeer</w:t>
      </w:r>
      <w:proofErr w:type="spellEnd"/>
      <w:r w:rsidR="00027607" w:rsidRPr="00CF30B8">
        <w:rPr>
          <w:sz w:val="24"/>
          <w:szCs w:val="24"/>
        </w:rPr>
        <w:t xml:space="preserve"> </w:t>
      </w:r>
      <w:proofErr w:type="spellStart"/>
      <w:r w:rsidR="00027607" w:rsidRPr="00CF30B8">
        <w:rPr>
          <w:sz w:val="24"/>
          <w:szCs w:val="24"/>
        </w:rPr>
        <w:t>onder</w:t>
      </w:r>
      <w:proofErr w:type="spellEnd"/>
      <w:r w:rsidR="00027607" w:rsidRPr="00CF30B8">
        <w:rPr>
          <w:sz w:val="24"/>
          <w:szCs w:val="24"/>
        </w:rPr>
        <w:t xml:space="preserve"> die </w:t>
      </w:r>
      <w:proofErr w:type="spellStart"/>
      <w:r w:rsidR="00027607" w:rsidRPr="00CF30B8">
        <w:rPr>
          <w:i/>
          <w:sz w:val="24"/>
          <w:szCs w:val="24"/>
        </w:rPr>
        <w:t>pretium</w:t>
      </w:r>
      <w:proofErr w:type="spellEnd"/>
      <w:r w:rsidR="00027607" w:rsidRPr="00CF30B8">
        <w:rPr>
          <w:i/>
          <w:sz w:val="24"/>
          <w:szCs w:val="24"/>
        </w:rPr>
        <w:t xml:space="preserve"> </w:t>
      </w:r>
      <w:proofErr w:type="spellStart"/>
      <w:r w:rsidR="00027607" w:rsidRPr="00CF30B8">
        <w:rPr>
          <w:i/>
          <w:sz w:val="24"/>
          <w:szCs w:val="24"/>
        </w:rPr>
        <w:t>succedit</w:t>
      </w:r>
      <w:proofErr w:type="spellEnd"/>
      <w:r w:rsidRPr="00CF30B8">
        <w:rPr>
          <w:i/>
          <w:sz w:val="24"/>
          <w:szCs w:val="24"/>
        </w:rPr>
        <w:t xml:space="preserve"> </w:t>
      </w:r>
      <w:r w:rsidR="00027607" w:rsidRPr="00CF30B8">
        <w:rPr>
          <w:i/>
          <w:sz w:val="24"/>
          <w:szCs w:val="24"/>
        </w:rPr>
        <w:t>in locum rei</w:t>
      </w:r>
      <w:r w:rsidR="00027607" w:rsidRPr="00CF30B8">
        <w:rPr>
          <w:b/>
          <w:sz w:val="24"/>
          <w:szCs w:val="24"/>
        </w:rPr>
        <w:t xml:space="preserve"> </w:t>
      </w:r>
      <w:proofErr w:type="spellStart"/>
      <w:r w:rsidR="00E72F41" w:rsidRPr="00CF30B8">
        <w:rPr>
          <w:sz w:val="24"/>
          <w:szCs w:val="24"/>
        </w:rPr>
        <w:t>re</w:t>
      </w:r>
      <w:r w:rsidR="00E72F41" w:rsidRPr="00CF30B8">
        <w:rPr>
          <w:rFonts w:cs="Arial"/>
          <w:sz w:val="24"/>
          <w:szCs w:val="24"/>
        </w:rPr>
        <w:t>ë</w:t>
      </w:r>
      <w:r w:rsidR="00027607" w:rsidRPr="00CF30B8">
        <w:rPr>
          <w:sz w:val="24"/>
          <w:szCs w:val="24"/>
        </w:rPr>
        <w:t>l</w:t>
      </w:r>
      <w:proofErr w:type="spellEnd"/>
      <w:r w:rsidR="00027607" w:rsidRPr="00CF30B8">
        <w:rPr>
          <w:sz w:val="24"/>
          <w:szCs w:val="24"/>
        </w:rPr>
        <w:t>.’</w:t>
      </w:r>
      <w:r w:rsidR="00BA2680" w:rsidRPr="00CF30B8">
        <w:rPr>
          <w:rStyle w:val="FootnoteReference"/>
          <w:sz w:val="24"/>
          <w:szCs w:val="24"/>
        </w:rPr>
        <w:footnoteReference w:id="18"/>
      </w:r>
    </w:p>
    <w:p w:rsidR="00082A59" w:rsidRPr="00CF30B8" w:rsidRDefault="00082A59" w:rsidP="00082A59">
      <w:pPr>
        <w:pStyle w:val="Quote"/>
        <w:spacing w:before="0" w:after="0"/>
        <w:rPr>
          <w:sz w:val="24"/>
          <w:szCs w:val="24"/>
        </w:rPr>
      </w:pPr>
    </w:p>
    <w:p w:rsidR="00C3551B" w:rsidRPr="00CF30B8" w:rsidRDefault="00B75983" w:rsidP="00B75983">
      <w:pPr>
        <w:pStyle w:val="Sectionnumbering"/>
        <w:numPr>
          <w:ilvl w:val="0"/>
          <w:numId w:val="0"/>
        </w:numPr>
        <w:spacing w:before="0" w:after="0"/>
        <w:rPr>
          <w:szCs w:val="24"/>
        </w:rPr>
      </w:pPr>
      <w:r w:rsidRPr="00CF30B8">
        <w:rPr>
          <w:szCs w:val="24"/>
        </w:rPr>
        <w:t>[19]</w:t>
      </w:r>
      <w:r w:rsidRPr="00CF30B8">
        <w:rPr>
          <w:szCs w:val="24"/>
        </w:rPr>
        <w:tab/>
      </w:r>
      <w:proofErr w:type="spellStart"/>
      <w:r w:rsidR="00A1524D" w:rsidRPr="00CF30B8">
        <w:rPr>
          <w:szCs w:val="24"/>
        </w:rPr>
        <w:t>Hefer</w:t>
      </w:r>
      <w:proofErr w:type="spellEnd"/>
      <w:r w:rsidR="00A1524D" w:rsidRPr="00CF30B8">
        <w:rPr>
          <w:szCs w:val="24"/>
        </w:rPr>
        <w:t xml:space="preserve"> JA merely mentioned this (the effect of a sale in execution on the rights of mortgagees)</w:t>
      </w:r>
      <w:r w:rsidR="005A4C35" w:rsidRPr="00CF30B8">
        <w:rPr>
          <w:szCs w:val="24"/>
        </w:rPr>
        <w:t>, however,</w:t>
      </w:r>
      <w:r w:rsidR="00A1524D" w:rsidRPr="00CF30B8">
        <w:rPr>
          <w:szCs w:val="24"/>
        </w:rPr>
        <w:t xml:space="preserve"> when </w:t>
      </w:r>
      <w:r w:rsidR="000B20E3" w:rsidRPr="00CF30B8">
        <w:rPr>
          <w:szCs w:val="24"/>
        </w:rPr>
        <w:t xml:space="preserve">he made the </w:t>
      </w:r>
      <w:r w:rsidR="00A1524D" w:rsidRPr="00CF30B8">
        <w:rPr>
          <w:szCs w:val="24"/>
        </w:rPr>
        <w:t>observ</w:t>
      </w:r>
      <w:r w:rsidR="000B20E3" w:rsidRPr="00CF30B8">
        <w:rPr>
          <w:szCs w:val="24"/>
        </w:rPr>
        <w:t>ation</w:t>
      </w:r>
      <w:r w:rsidR="000F7749" w:rsidRPr="00CF30B8">
        <w:rPr>
          <w:szCs w:val="24"/>
        </w:rPr>
        <w:t xml:space="preserve"> that the directions contained in</w:t>
      </w:r>
      <w:r w:rsidR="00A1524D" w:rsidRPr="00CF30B8">
        <w:rPr>
          <w:szCs w:val="24"/>
        </w:rPr>
        <w:t xml:space="preserve"> s</w:t>
      </w:r>
      <w:r w:rsidR="00192D09" w:rsidRPr="00CF30B8">
        <w:rPr>
          <w:szCs w:val="24"/>
        </w:rPr>
        <w:t> </w:t>
      </w:r>
      <w:r w:rsidR="00A1524D" w:rsidRPr="00CF30B8">
        <w:rPr>
          <w:szCs w:val="24"/>
        </w:rPr>
        <w:t>56 of the Land Bank Act</w:t>
      </w:r>
      <w:r w:rsidR="009C5BB5" w:rsidRPr="00CF30B8">
        <w:rPr>
          <w:szCs w:val="24"/>
        </w:rPr>
        <w:t>,</w:t>
      </w:r>
      <w:r w:rsidR="00A1524D" w:rsidRPr="00CF30B8">
        <w:rPr>
          <w:szCs w:val="24"/>
        </w:rPr>
        <w:t xml:space="preserve"> regard</w:t>
      </w:r>
      <w:r w:rsidR="000F7749" w:rsidRPr="00CF30B8">
        <w:rPr>
          <w:szCs w:val="24"/>
        </w:rPr>
        <w:t>ing</w:t>
      </w:r>
      <w:r w:rsidR="00A1524D" w:rsidRPr="00CF30B8">
        <w:rPr>
          <w:szCs w:val="24"/>
        </w:rPr>
        <w:t xml:space="preserve"> the distribution of the proceeds of a sale of land in ter</w:t>
      </w:r>
      <w:r w:rsidR="000B20E3" w:rsidRPr="00CF30B8">
        <w:rPr>
          <w:szCs w:val="24"/>
        </w:rPr>
        <w:t>ms of the provisions of s</w:t>
      </w:r>
      <w:r w:rsidR="00192D09" w:rsidRPr="00CF30B8">
        <w:rPr>
          <w:szCs w:val="24"/>
        </w:rPr>
        <w:t> </w:t>
      </w:r>
      <w:r w:rsidR="000B20E3" w:rsidRPr="00CF30B8">
        <w:rPr>
          <w:szCs w:val="24"/>
        </w:rPr>
        <w:t>55, did</w:t>
      </w:r>
      <w:r w:rsidR="00A1524D" w:rsidRPr="00CF30B8">
        <w:rPr>
          <w:szCs w:val="24"/>
        </w:rPr>
        <w:t xml:space="preserve"> not place holders of security in respect of the land in a worse position</w:t>
      </w:r>
      <w:r w:rsidR="00B134CD" w:rsidRPr="00CF30B8">
        <w:rPr>
          <w:szCs w:val="24"/>
        </w:rPr>
        <w:t xml:space="preserve"> than </w:t>
      </w:r>
      <w:r w:rsidR="00B6658A" w:rsidRPr="00CF30B8">
        <w:rPr>
          <w:szCs w:val="24"/>
        </w:rPr>
        <w:t>that which obtains following</w:t>
      </w:r>
      <w:r w:rsidR="000D0509" w:rsidRPr="00CF30B8">
        <w:rPr>
          <w:szCs w:val="24"/>
        </w:rPr>
        <w:t xml:space="preserve"> </w:t>
      </w:r>
      <w:r w:rsidR="00B134CD" w:rsidRPr="00CF30B8">
        <w:rPr>
          <w:szCs w:val="24"/>
        </w:rPr>
        <w:t>a sale in execution.</w:t>
      </w:r>
      <w:r w:rsidR="00752A6B" w:rsidRPr="00CF30B8">
        <w:rPr>
          <w:szCs w:val="24"/>
        </w:rPr>
        <w:t xml:space="preserve"> </w:t>
      </w:r>
      <w:r w:rsidR="00752A6B" w:rsidRPr="00EF05CC">
        <w:rPr>
          <w:szCs w:val="24"/>
          <w:highlight w:val="yellow"/>
        </w:rPr>
        <w:t>This court did not</w:t>
      </w:r>
      <w:r w:rsidR="000F7749" w:rsidRPr="00EF05CC">
        <w:rPr>
          <w:szCs w:val="24"/>
          <w:highlight w:val="yellow"/>
        </w:rPr>
        <w:t xml:space="preserve"> deal</w:t>
      </w:r>
      <w:r w:rsidR="00050C1A" w:rsidRPr="00EF05CC">
        <w:rPr>
          <w:szCs w:val="24"/>
          <w:highlight w:val="yellow"/>
        </w:rPr>
        <w:t>, in that matter</w:t>
      </w:r>
      <w:r w:rsidR="007B2F15" w:rsidRPr="00EF05CC">
        <w:rPr>
          <w:szCs w:val="24"/>
          <w:highlight w:val="yellow"/>
        </w:rPr>
        <w:t>,</w:t>
      </w:r>
      <w:r w:rsidR="00050C1A" w:rsidRPr="00EF05CC">
        <w:rPr>
          <w:szCs w:val="24"/>
          <w:highlight w:val="yellow"/>
        </w:rPr>
        <w:t xml:space="preserve"> with </w:t>
      </w:r>
      <w:r w:rsidR="009C5BB5" w:rsidRPr="00EF05CC">
        <w:rPr>
          <w:szCs w:val="24"/>
          <w:highlight w:val="yellow"/>
        </w:rPr>
        <w:t xml:space="preserve">the question whether </w:t>
      </w:r>
      <w:r w:rsidR="00050C1A" w:rsidRPr="00EF05CC">
        <w:rPr>
          <w:szCs w:val="24"/>
          <w:highlight w:val="yellow"/>
        </w:rPr>
        <w:t xml:space="preserve">a statutory hypothec survived transfer, </w:t>
      </w:r>
      <w:r w:rsidR="009C5BB5" w:rsidRPr="00EF05CC">
        <w:rPr>
          <w:szCs w:val="24"/>
          <w:highlight w:val="yellow"/>
        </w:rPr>
        <w:t xml:space="preserve">but </w:t>
      </w:r>
      <w:r w:rsidR="005A4C35" w:rsidRPr="00EF05CC">
        <w:rPr>
          <w:szCs w:val="24"/>
          <w:highlight w:val="yellow"/>
        </w:rPr>
        <w:t xml:space="preserve">rather </w:t>
      </w:r>
      <w:r w:rsidR="009C5BB5" w:rsidRPr="00EF05CC">
        <w:rPr>
          <w:szCs w:val="24"/>
          <w:highlight w:val="yellow"/>
        </w:rPr>
        <w:t xml:space="preserve">with the meaning of the </w:t>
      </w:r>
      <w:r w:rsidR="00B6658A" w:rsidRPr="00EF05CC">
        <w:rPr>
          <w:szCs w:val="24"/>
          <w:highlight w:val="yellow"/>
        </w:rPr>
        <w:t>words</w:t>
      </w:r>
      <w:r w:rsidR="00A96091" w:rsidRPr="00EF05CC">
        <w:rPr>
          <w:szCs w:val="24"/>
          <w:highlight w:val="yellow"/>
        </w:rPr>
        <w:t xml:space="preserve"> ‘</w:t>
      </w:r>
      <w:proofErr w:type="spellStart"/>
      <w:r w:rsidR="00A96091" w:rsidRPr="00EF05CC">
        <w:rPr>
          <w:szCs w:val="24"/>
          <w:highlight w:val="yellow"/>
        </w:rPr>
        <w:t>regsgeldige</w:t>
      </w:r>
      <w:proofErr w:type="spellEnd"/>
      <w:r w:rsidR="00A96091" w:rsidRPr="00EF05CC">
        <w:rPr>
          <w:szCs w:val="24"/>
          <w:highlight w:val="yellow"/>
        </w:rPr>
        <w:t xml:space="preserve"> </w:t>
      </w:r>
      <w:proofErr w:type="spellStart"/>
      <w:r w:rsidR="00A96091" w:rsidRPr="00EF05CC">
        <w:rPr>
          <w:szCs w:val="24"/>
          <w:highlight w:val="yellow"/>
        </w:rPr>
        <w:t>titel</w:t>
      </w:r>
      <w:proofErr w:type="spellEnd"/>
      <w:r w:rsidR="00A96091" w:rsidRPr="00EF05CC">
        <w:rPr>
          <w:szCs w:val="24"/>
          <w:highlight w:val="yellow"/>
        </w:rPr>
        <w:t>’.</w:t>
      </w:r>
      <w:r w:rsidR="00050C1A" w:rsidRPr="00CF30B8">
        <w:rPr>
          <w:szCs w:val="24"/>
        </w:rPr>
        <w:t xml:space="preserve"> </w:t>
      </w:r>
      <w:r w:rsidR="00A96091" w:rsidRPr="00CF30B8">
        <w:rPr>
          <w:szCs w:val="24"/>
        </w:rPr>
        <w:t>The question it was called upon to answer was</w:t>
      </w:r>
      <w:r w:rsidR="00050C1A" w:rsidRPr="00CF30B8">
        <w:rPr>
          <w:szCs w:val="24"/>
        </w:rPr>
        <w:t xml:space="preserve"> whether a purchaser of land at a public auction</w:t>
      </w:r>
      <w:r w:rsidR="000F7749" w:rsidRPr="00CF30B8">
        <w:rPr>
          <w:szCs w:val="24"/>
        </w:rPr>
        <w:t>,</w:t>
      </w:r>
      <w:r w:rsidR="00050C1A" w:rsidRPr="00CF30B8">
        <w:rPr>
          <w:szCs w:val="24"/>
        </w:rPr>
        <w:t xml:space="preserve"> authorised by s</w:t>
      </w:r>
      <w:r w:rsidR="005A4C35" w:rsidRPr="00CF30B8">
        <w:rPr>
          <w:szCs w:val="24"/>
        </w:rPr>
        <w:t> </w:t>
      </w:r>
      <w:r w:rsidR="00050C1A" w:rsidRPr="00CF30B8">
        <w:rPr>
          <w:szCs w:val="24"/>
        </w:rPr>
        <w:t>55 of the Land Bank Act</w:t>
      </w:r>
      <w:r w:rsidR="000F7749" w:rsidRPr="00CF30B8">
        <w:rPr>
          <w:szCs w:val="24"/>
        </w:rPr>
        <w:t>,</w:t>
      </w:r>
      <w:r w:rsidR="00050C1A" w:rsidRPr="00CF30B8">
        <w:rPr>
          <w:szCs w:val="24"/>
        </w:rPr>
        <w:t xml:space="preserve"> received transfer of such land fre</w:t>
      </w:r>
      <w:r w:rsidR="00F6790A" w:rsidRPr="00CF30B8">
        <w:rPr>
          <w:szCs w:val="24"/>
        </w:rPr>
        <w:t>e of</w:t>
      </w:r>
      <w:r w:rsidR="000F7749" w:rsidRPr="00CF30B8">
        <w:rPr>
          <w:szCs w:val="24"/>
        </w:rPr>
        <w:t xml:space="preserve"> any encumbrance </w:t>
      </w:r>
      <w:r w:rsidR="00A96091" w:rsidRPr="00CF30B8">
        <w:rPr>
          <w:szCs w:val="24"/>
        </w:rPr>
        <w:t>despite the fact that it (the land) may have been hypothecated</w:t>
      </w:r>
      <w:r w:rsidR="00050C1A" w:rsidRPr="00CF30B8">
        <w:rPr>
          <w:szCs w:val="24"/>
        </w:rPr>
        <w:t xml:space="preserve">. </w:t>
      </w:r>
      <w:r w:rsidR="00050C1A" w:rsidRPr="00EF05CC">
        <w:rPr>
          <w:szCs w:val="24"/>
          <w:highlight w:val="yellow"/>
        </w:rPr>
        <w:t xml:space="preserve">The reliance on </w:t>
      </w:r>
      <w:r w:rsidR="00050C1A" w:rsidRPr="00EF05CC">
        <w:rPr>
          <w:i/>
          <w:szCs w:val="24"/>
          <w:highlight w:val="yellow"/>
        </w:rPr>
        <w:t xml:space="preserve">Land </w:t>
      </w:r>
      <w:proofErr w:type="spellStart"/>
      <w:r w:rsidR="00050C1A" w:rsidRPr="00EF05CC">
        <w:rPr>
          <w:i/>
          <w:szCs w:val="24"/>
          <w:highlight w:val="yellow"/>
        </w:rPr>
        <w:t>en</w:t>
      </w:r>
      <w:proofErr w:type="spellEnd"/>
      <w:r w:rsidR="00050C1A" w:rsidRPr="00EF05CC">
        <w:rPr>
          <w:i/>
          <w:szCs w:val="24"/>
          <w:highlight w:val="yellow"/>
        </w:rPr>
        <w:t xml:space="preserve"> </w:t>
      </w:r>
      <w:proofErr w:type="spellStart"/>
      <w:r w:rsidR="00050C1A" w:rsidRPr="00EF05CC">
        <w:rPr>
          <w:i/>
          <w:szCs w:val="24"/>
          <w:highlight w:val="yellow"/>
        </w:rPr>
        <w:t>Landboubank</w:t>
      </w:r>
      <w:proofErr w:type="spellEnd"/>
      <w:r w:rsidR="00050C1A" w:rsidRPr="00EF05CC">
        <w:rPr>
          <w:i/>
          <w:szCs w:val="24"/>
          <w:highlight w:val="yellow"/>
        </w:rPr>
        <w:t xml:space="preserve"> v Absa</w:t>
      </w:r>
      <w:r w:rsidR="00050C1A" w:rsidRPr="00CF30B8">
        <w:rPr>
          <w:i/>
          <w:szCs w:val="24"/>
        </w:rPr>
        <w:t xml:space="preserve"> </w:t>
      </w:r>
      <w:r w:rsidR="00050C1A" w:rsidRPr="00CF30B8">
        <w:rPr>
          <w:szCs w:val="24"/>
        </w:rPr>
        <w:t>for the proposition that s 118(3) of the Act should be interpreted in accordance with the common law relating to the effect of a sale in execution on the rights of bondholders is</w:t>
      </w:r>
      <w:r w:rsidR="00050C1A" w:rsidRPr="00EF05CC">
        <w:rPr>
          <w:szCs w:val="24"/>
          <w:highlight w:val="yellow"/>
        </w:rPr>
        <w:t>, therefore, misplaced</w:t>
      </w:r>
      <w:r w:rsidR="00050C1A" w:rsidRPr="00CF30B8">
        <w:rPr>
          <w:szCs w:val="24"/>
        </w:rPr>
        <w:t>.</w:t>
      </w:r>
      <w:r w:rsidR="00FB7D91" w:rsidRPr="00CF30B8" w:rsidDel="00FB7D91">
        <w:rPr>
          <w:b/>
          <w:szCs w:val="24"/>
        </w:rPr>
        <w:t xml:space="preserve"> </w:t>
      </w:r>
    </w:p>
    <w:p w:rsidR="00082A59" w:rsidRPr="00CF30B8" w:rsidRDefault="00082A59" w:rsidP="00082A59">
      <w:pPr>
        <w:pStyle w:val="Sectionnumbering"/>
        <w:numPr>
          <w:ilvl w:val="0"/>
          <w:numId w:val="0"/>
        </w:numPr>
        <w:spacing w:before="0" w:after="0"/>
        <w:rPr>
          <w:szCs w:val="24"/>
        </w:rPr>
      </w:pPr>
    </w:p>
    <w:p w:rsidR="009157E1" w:rsidRPr="00CF30B8" w:rsidRDefault="00B75983" w:rsidP="00B75983">
      <w:pPr>
        <w:pStyle w:val="Sectionnumbering"/>
        <w:numPr>
          <w:ilvl w:val="0"/>
          <w:numId w:val="0"/>
        </w:numPr>
        <w:spacing w:before="0" w:after="0"/>
        <w:rPr>
          <w:szCs w:val="24"/>
        </w:rPr>
      </w:pPr>
      <w:r w:rsidRPr="00CF30B8">
        <w:rPr>
          <w:szCs w:val="24"/>
        </w:rPr>
        <w:t>[20]</w:t>
      </w:r>
      <w:r w:rsidRPr="00CF30B8">
        <w:rPr>
          <w:szCs w:val="24"/>
        </w:rPr>
        <w:tab/>
      </w:r>
      <w:r w:rsidR="00F529B3" w:rsidRPr="00CF30B8">
        <w:rPr>
          <w:szCs w:val="24"/>
        </w:rPr>
        <w:t>In view of the conclusion</w:t>
      </w:r>
      <w:r w:rsidR="00A96091" w:rsidRPr="00CF30B8">
        <w:rPr>
          <w:szCs w:val="24"/>
        </w:rPr>
        <w:t>s</w:t>
      </w:r>
      <w:r w:rsidR="00F529B3" w:rsidRPr="00CF30B8">
        <w:rPr>
          <w:szCs w:val="24"/>
        </w:rPr>
        <w:t xml:space="preserve"> I have reached</w:t>
      </w:r>
      <w:r w:rsidR="00A96091" w:rsidRPr="00CF30B8">
        <w:rPr>
          <w:szCs w:val="24"/>
        </w:rPr>
        <w:t>,</w:t>
      </w:r>
      <w:r w:rsidR="00F529B3" w:rsidRPr="00CF30B8">
        <w:rPr>
          <w:szCs w:val="24"/>
        </w:rPr>
        <w:t xml:space="preserve"> it becomes unnecessary to deal </w:t>
      </w:r>
      <w:r w:rsidR="006E37A5" w:rsidRPr="00CF30B8">
        <w:rPr>
          <w:szCs w:val="24"/>
        </w:rPr>
        <w:t xml:space="preserve">in detail </w:t>
      </w:r>
      <w:r w:rsidR="00F529B3" w:rsidRPr="00CF30B8">
        <w:rPr>
          <w:szCs w:val="24"/>
        </w:rPr>
        <w:t xml:space="preserve">with counsel’s further </w:t>
      </w:r>
      <w:r w:rsidR="006C4E26" w:rsidRPr="00CF30B8">
        <w:rPr>
          <w:szCs w:val="24"/>
        </w:rPr>
        <w:t>reli</w:t>
      </w:r>
      <w:r w:rsidR="00F529B3" w:rsidRPr="00CF30B8">
        <w:rPr>
          <w:szCs w:val="24"/>
        </w:rPr>
        <w:t>ance</w:t>
      </w:r>
      <w:r w:rsidR="006C4E26" w:rsidRPr="00CF30B8">
        <w:rPr>
          <w:szCs w:val="24"/>
        </w:rPr>
        <w:t xml:space="preserve"> on the pro</w:t>
      </w:r>
      <w:r w:rsidR="005274B8" w:rsidRPr="00CF30B8">
        <w:rPr>
          <w:szCs w:val="24"/>
        </w:rPr>
        <w:t>visions</w:t>
      </w:r>
      <w:r w:rsidR="006C4E26" w:rsidRPr="00CF30B8">
        <w:rPr>
          <w:szCs w:val="24"/>
        </w:rPr>
        <w:t xml:space="preserve"> of </w:t>
      </w:r>
      <w:r w:rsidR="00884766" w:rsidRPr="00CF30B8">
        <w:rPr>
          <w:szCs w:val="24"/>
        </w:rPr>
        <w:t>R</w:t>
      </w:r>
      <w:r w:rsidR="00A553E6" w:rsidRPr="00CF30B8">
        <w:rPr>
          <w:szCs w:val="24"/>
        </w:rPr>
        <w:t>ule</w:t>
      </w:r>
      <w:r w:rsidR="006C4E26" w:rsidRPr="00CF30B8">
        <w:rPr>
          <w:szCs w:val="24"/>
        </w:rPr>
        <w:t>s 45(11</w:t>
      </w:r>
      <w:proofErr w:type="gramStart"/>
      <w:r w:rsidR="006C4E26" w:rsidRPr="00CF30B8">
        <w:rPr>
          <w:szCs w:val="24"/>
        </w:rPr>
        <w:t>)</w:t>
      </w:r>
      <w:r w:rsidR="006C4E26" w:rsidRPr="00CF30B8">
        <w:rPr>
          <w:i/>
          <w:szCs w:val="24"/>
        </w:rPr>
        <w:t>(</w:t>
      </w:r>
      <w:proofErr w:type="gramEnd"/>
      <w:r w:rsidR="006C4E26" w:rsidRPr="00CF30B8">
        <w:rPr>
          <w:i/>
          <w:szCs w:val="24"/>
        </w:rPr>
        <w:t>a)</w:t>
      </w:r>
      <w:r w:rsidR="006C4E26" w:rsidRPr="00CF30B8">
        <w:rPr>
          <w:szCs w:val="24"/>
        </w:rPr>
        <w:t>(</w:t>
      </w:r>
      <w:proofErr w:type="spellStart"/>
      <w:r w:rsidR="006C4E26" w:rsidRPr="00CF30B8">
        <w:rPr>
          <w:i/>
          <w:szCs w:val="24"/>
        </w:rPr>
        <w:t>i</w:t>
      </w:r>
      <w:proofErr w:type="spellEnd"/>
      <w:r w:rsidR="006C4E26" w:rsidRPr="00CF30B8">
        <w:rPr>
          <w:szCs w:val="24"/>
        </w:rPr>
        <w:t>)</w:t>
      </w:r>
      <w:r w:rsidR="00B801D7" w:rsidRPr="00CF30B8">
        <w:rPr>
          <w:rStyle w:val="FootnoteReference"/>
          <w:szCs w:val="24"/>
        </w:rPr>
        <w:footnoteReference w:id="19"/>
      </w:r>
      <w:r w:rsidR="006C4E26" w:rsidRPr="00CF30B8">
        <w:rPr>
          <w:szCs w:val="24"/>
        </w:rPr>
        <w:t xml:space="preserve"> and 46(5)</w:t>
      </w:r>
      <w:r w:rsidR="006C4E26" w:rsidRPr="00CF30B8">
        <w:rPr>
          <w:i/>
          <w:szCs w:val="24"/>
        </w:rPr>
        <w:t>(a)</w:t>
      </w:r>
      <w:r w:rsidR="00B801D7" w:rsidRPr="00CF30B8">
        <w:rPr>
          <w:rStyle w:val="FootnoteReference"/>
          <w:szCs w:val="24"/>
        </w:rPr>
        <w:footnoteReference w:id="20"/>
      </w:r>
      <w:r w:rsidR="00F529B3" w:rsidRPr="00CF30B8">
        <w:rPr>
          <w:szCs w:val="24"/>
        </w:rPr>
        <w:t xml:space="preserve"> of the Uniform Rules of Court f</w:t>
      </w:r>
      <w:r w:rsidR="006C4E26" w:rsidRPr="00CF30B8">
        <w:rPr>
          <w:szCs w:val="24"/>
        </w:rPr>
        <w:t>o</w:t>
      </w:r>
      <w:r w:rsidR="00F529B3" w:rsidRPr="00CF30B8">
        <w:rPr>
          <w:szCs w:val="24"/>
        </w:rPr>
        <w:t>r</w:t>
      </w:r>
      <w:r w:rsidR="006C4E26" w:rsidRPr="00CF30B8">
        <w:rPr>
          <w:szCs w:val="24"/>
        </w:rPr>
        <w:t xml:space="preserve"> </w:t>
      </w:r>
      <w:r w:rsidR="00F529B3" w:rsidRPr="00CF30B8">
        <w:rPr>
          <w:szCs w:val="24"/>
        </w:rPr>
        <w:t xml:space="preserve">the </w:t>
      </w:r>
      <w:r w:rsidR="006C4E26" w:rsidRPr="00CF30B8">
        <w:rPr>
          <w:szCs w:val="24"/>
        </w:rPr>
        <w:t>submi</w:t>
      </w:r>
      <w:r w:rsidR="00F529B3" w:rsidRPr="00CF30B8">
        <w:rPr>
          <w:szCs w:val="24"/>
        </w:rPr>
        <w:t>ssion</w:t>
      </w:r>
      <w:r w:rsidR="006C4E26" w:rsidRPr="00CF30B8">
        <w:rPr>
          <w:szCs w:val="24"/>
        </w:rPr>
        <w:t xml:space="preserve"> </w:t>
      </w:r>
      <w:r w:rsidR="005274B8" w:rsidRPr="00CF30B8">
        <w:rPr>
          <w:szCs w:val="24"/>
        </w:rPr>
        <w:t xml:space="preserve">that the appellant was </w:t>
      </w:r>
      <w:r w:rsidR="005274B8" w:rsidRPr="00CF30B8">
        <w:rPr>
          <w:szCs w:val="24"/>
        </w:rPr>
        <w:lastRenderedPageBreak/>
        <w:t xml:space="preserve">called upon </w:t>
      </w:r>
      <w:r w:rsidR="00F529B3" w:rsidRPr="00CF30B8">
        <w:rPr>
          <w:szCs w:val="24"/>
        </w:rPr>
        <w:t>‘</w:t>
      </w:r>
      <w:r w:rsidR="005274B8" w:rsidRPr="00CF30B8">
        <w:rPr>
          <w:szCs w:val="24"/>
        </w:rPr>
        <w:t xml:space="preserve">to set a reserve price at the sale in execution of the property for the </w:t>
      </w:r>
      <w:proofErr w:type="spellStart"/>
      <w:r w:rsidR="00FF0FF6" w:rsidRPr="00CF30B8">
        <w:rPr>
          <w:szCs w:val="24"/>
        </w:rPr>
        <w:t>p</w:t>
      </w:r>
      <w:r w:rsidR="005274B8" w:rsidRPr="00CF30B8">
        <w:rPr>
          <w:szCs w:val="24"/>
        </w:rPr>
        <w:t>referent</w:t>
      </w:r>
      <w:proofErr w:type="spellEnd"/>
      <w:r w:rsidR="005274B8" w:rsidRPr="00CF30B8">
        <w:rPr>
          <w:szCs w:val="24"/>
        </w:rPr>
        <w:t xml:space="preserve"> claim it may have against the judgment debtor’. The appellant’s failure to have exercised it</w:t>
      </w:r>
      <w:r w:rsidR="00033469" w:rsidRPr="00CF30B8">
        <w:rPr>
          <w:szCs w:val="24"/>
        </w:rPr>
        <w:t>s</w:t>
      </w:r>
      <w:r w:rsidR="005274B8" w:rsidRPr="00CF30B8">
        <w:rPr>
          <w:szCs w:val="24"/>
        </w:rPr>
        <w:t xml:space="preserve"> rights in terms of the relevant </w:t>
      </w:r>
      <w:r w:rsidR="00C45290" w:rsidRPr="00CF30B8">
        <w:rPr>
          <w:szCs w:val="24"/>
        </w:rPr>
        <w:t>r</w:t>
      </w:r>
      <w:r w:rsidR="005274B8" w:rsidRPr="00CF30B8">
        <w:rPr>
          <w:szCs w:val="24"/>
        </w:rPr>
        <w:t>ules</w:t>
      </w:r>
      <w:r w:rsidR="008E75F0" w:rsidRPr="00CF30B8">
        <w:rPr>
          <w:szCs w:val="24"/>
        </w:rPr>
        <w:t>, so the argument went,</w:t>
      </w:r>
      <w:r w:rsidR="005274B8" w:rsidRPr="00CF30B8">
        <w:rPr>
          <w:szCs w:val="24"/>
        </w:rPr>
        <w:t xml:space="preserve"> prohibits it from perfecting its security over the land pursuant to the sale in execution. </w:t>
      </w:r>
      <w:r w:rsidR="00E11666" w:rsidRPr="00CF30B8">
        <w:rPr>
          <w:szCs w:val="24"/>
        </w:rPr>
        <w:t>This argument assumes that a notice of the sale in execution had been served on the appellant as required by the relevant rule</w:t>
      </w:r>
      <w:r w:rsidR="00FB7D91" w:rsidRPr="00CF30B8">
        <w:rPr>
          <w:szCs w:val="24"/>
        </w:rPr>
        <w:t>.</w:t>
      </w:r>
      <w:r w:rsidR="00E11666" w:rsidRPr="00CF30B8">
        <w:rPr>
          <w:szCs w:val="24"/>
        </w:rPr>
        <w:t xml:space="preserve"> </w:t>
      </w:r>
      <w:r w:rsidR="00556402" w:rsidRPr="00CF30B8">
        <w:rPr>
          <w:szCs w:val="24"/>
        </w:rPr>
        <w:t xml:space="preserve">There was no evidence to that effect before the court a quo. </w:t>
      </w:r>
      <w:r w:rsidR="00E11666" w:rsidRPr="00CF30B8">
        <w:rPr>
          <w:szCs w:val="24"/>
        </w:rPr>
        <w:t>In any event, the rules cannot be used</w:t>
      </w:r>
      <w:r w:rsidR="00155651" w:rsidRPr="00CF30B8">
        <w:rPr>
          <w:szCs w:val="24"/>
        </w:rPr>
        <w:t xml:space="preserve"> as an aid</w:t>
      </w:r>
      <w:r w:rsidR="00E11666" w:rsidRPr="00CF30B8">
        <w:rPr>
          <w:szCs w:val="24"/>
        </w:rPr>
        <w:t xml:space="preserve"> to interpret </w:t>
      </w:r>
      <w:r w:rsidR="00106F01" w:rsidRPr="00CF30B8">
        <w:rPr>
          <w:szCs w:val="24"/>
        </w:rPr>
        <w:t>legislation.</w:t>
      </w:r>
      <w:r w:rsidR="0088568B" w:rsidRPr="00CF30B8">
        <w:rPr>
          <w:rStyle w:val="FootnoteReference"/>
          <w:szCs w:val="24"/>
        </w:rPr>
        <w:footnoteReference w:id="21"/>
      </w:r>
      <w:r w:rsidR="00CD26E8" w:rsidRPr="00CF30B8">
        <w:rPr>
          <w:szCs w:val="24"/>
        </w:rPr>
        <w:t xml:space="preserve"> </w:t>
      </w:r>
      <w:r w:rsidR="002C0D48" w:rsidRPr="00CF30B8">
        <w:rPr>
          <w:szCs w:val="24"/>
        </w:rPr>
        <w:t xml:space="preserve">Counsel’s further argument, therefore, cannot </w:t>
      </w:r>
      <w:r w:rsidR="005A4C35" w:rsidRPr="00CF30B8">
        <w:rPr>
          <w:szCs w:val="24"/>
        </w:rPr>
        <w:t xml:space="preserve">in any case </w:t>
      </w:r>
      <w:r w:rsidR="002C0D48" w:rsidRPr="00CF30B8">
        <w:rPr>
          <w:szCs w:val="24"/>
        </w:rPr>
        <w:t>be sustained.</w:t>
      </w:r>
    </w:p>
    <w:p w:rsidR="00082A59" w:rsidRPr="00CF30B8" w:rsidRDefault="00082A59" w:rsidP="00082A59">
      <w:pPr>
        <w:pStyle w:val="Sectionnumbering"/>
        <w:numPr>
          <w:ilvl w:val="0"/>
          <w:numId w:val="0"/>
        </w:numPr>
        <w:spacing w:before="0" w:after="0"/>
        <w:rPr>
          <w:szCs w:val="24"/>
        </w:rPr>
      </w:pPr>
    </w:p>
    <w:p w:rsidR="00DD4530" w:rsidRPr="00CF30B8" w:rsidRDefault="00B75983" w:rsidP="00B75983">
      <w:pPr>
        <w:pStyle w:val="Sectionnumbering"/>
        <w:numPr>
          <w:ilvl w:val="0"/>
          <w:numId w:val="0"/>
        </w:numPr>
        <w:spacing w:before="0" w:after="0"/>
        <w:rPr>
          <w:szCs w:val="24"/>
        </w:rPr>
      </w:pPr>
      <w:r w:rsidRPr="00CF30B8">
        <w:rPr>
          <w:szCs w:val="24"/>
        </w:rPr>
        <w:t>[21]</w:t>
      </w:r>
      <w:r w:rsidRPr="00CF30B8">
        <w:rPr>
          <w:szCs w:val="24"/>
        </w:rPr>
        <w:tab/>
      </w:r>
      <w:r w:rsidR="00F529B3" w:rsidRPr="00CF30B8">
        <w:rPr>
          <w:szCs w:val="24"/>
        </w:rPr>
        <w:t>I proceed to deal with paragraph</w:t>
      </w:r>
      <w:r w:rsidR="007F06CA" w:rsidRPr="00CF30B8">
        <w:rPr>
          <w:szCs w:val="24"/>
        </w:rPr>
        <w:t>s</w:t>
      </w:r>
      <w:r w:rsidR="00F529B3" w:rsidRPr="00CF30B8">
        <w:rPr>
          <w:szCs w:val="24"/>
        </w:rPr>
        <w:t xml:space="preserve"> 1.2 </w:t>
      </w:r>
      <w:r w:rsidR="007F06CA" w:rsidRPr="00CF30B8">
        <w:rPr>
          <w:szCs w:val="24"/>
        </w:rPr>
        <w:t xml:space="preserve">and 1.3 </w:t>
      </w:r>
      <w:r w:rsidR="00F529B3" w:rsidRPr="00CF30B8">
        <w:rPr>
          <w:szCs w:val="24"/>
        </w:rPr>
        <w:t>of the order of the court a quo.</w:t>
      </w:r>
      <w:r w:rsidR="002C0D48" w:rsidRPr="00CF30B8">
        <w:rPr>
          <w:szCs w:val="24"/>
        </w:rPr>
        <w:t xml:space="preserve"> </w:t>
      </w:r>
      <w:r w:rsidR="007F06CA" w:rsidRPr="00CF30B8">
        <w:rPr>
          <w:szCs w:val="24"/>
        </w:rPr>
        <w:t>I</w:t>
      </w:r>
      <w:r w:rsidR="00EC5A4D" w:rsidRPr="00CF30B8">
        <w:rPr>
          <w:szCs w:val="24"/>
        </w:rPr>
        <w:t xml:space="preserve">n </w:t>
      </w:r>
      <w:r w:rsidR="007F06CA" w:rsidRPr="00CF30B8">
        <w:rPr>
          <w:szCs w:val="24"/>
        </w:rPr>
        <w:t xml:space="preserve">paragraph </w:t>
      </w:r>
      <w:r w:rsidR="002F4ECD" w:rsidRPr="00CF30B8">
        <w:rPr>
          <w:szCs w:val="24"/>
        </w:rPr>
        <w:t>1.2</w:t>
      </w:r>
      <w:r w:rsidR="005A4C35" w:rsidRPr="00CF30B8">
        <w:rPr>
          <w:szCs w:val="24"/>
        </w:rPr>
        <w:t>,</w:t>
      </w:r>
      <w:r w:rsidR="002F4ECD" w:rsidRPr="00CF30B8">
        <w:rPr>
          <w:szCs w:val="24"/>
        </w:rPr>
        <w:t xml:space="preserve"> </w:t>
      </w:r>
      <w:r w:rsidR="00EC5A4D" w:rsidRPr="00CF30B8">
        <w:rPr>
          <w:szCs w:val="24"/>
        </w:rPr>
        <w:t xml:space="preserve">the court </w:t>
      </w:r>
      <w:r w:rsidR="007F06CA" w:rsidRPr="00CF30B8">
        <w:rPr>
          <w:szCs w:val="24"/>
        </w:rPr>
        <w:t>declare</w:t>
      </w:r>
      <w:r w:rsidR="00485B97" w:rsidRPr="00CF30B8">
        <w:rPr>
          <w:szCs w:val="24"/>
        </w:rPr>
        <w:t>d</w:t>
      </w:r>
      <w:r w:rsidR="00EC5A4D" w:rsidRPr="00CF30B8">
        <w:rPr>
          <w:szCs w:val="24"/>
        </w:rPr>
        <w:t xml:space="preserve"> that the respondent </w:t>
      </w:r>
      <w:r w:rsidR="007F06CA" w:rsidRPr="00CF30B8">
        <w:rPr>
          <w:szCs w:val="24"/>
        </w:rPr>
        <w:t>(applicant before it)</w:t>
      </w:r>
      <w:r w:rsidR="00857806" w:rsidRPr="00CF30B8">
        <w:rPr>
          <w:szCs w:val="24"/>
        </w:rPr>
        <w:t>,</w:t>
      </w:r>
      <w:r w:rsidR="00EC5A4D" w:rsidRPr="00CF30B8">
        <w:rPr>
          <w:szCs w:val="24"/>
        </w:rPr>
        <w:t xml:space="preserve"> or his successor</w:t>
      </w:r>
      <w:r w:rsidR="0050653F" w:rsidRPr="00CF30B8">
        <w:rPr>
          <w:szCs w:val="24"/>
        </w:rPr>
        <w:t xml:space="preserve"> </w:t>
      </w:r>
      <w:r w:rsidR="00EC5A4D" w:rsidRPr="00CF30B8">
        <w:rPr>
          <w:szCs w:val="24"/>
        </w:rPr>
        <w:t>in</w:t>
      </w:r>
      <w:r w:rsidR="0050653F" w:rsidRPr="00CF30B8">
        <w:rPr>
          <w:szCs w:val="24"/>
        </w:rPr>
        <w:t xml:space="preserve"> </w:t>
      </w:r>
      <w:r w:rsidR="00EC5A4D" w:rsidRPr="00CF30B8">
        <w:rPr>
          <w:szCs w:val="24"/>
        </w:rPr>
        <w:t>title, was not liable for the historic</w:t>
      </w:r>
      <w:r w:rsidR="007F06CA" w:rsidRPr="00CF30B8">
        <w:rPr>
          <w:szCs w:val="24"/>
        </w:rPr>
        <w:t>al</w:t>
      </w:r>
      <w:r w:rsidR="00EC5A4D" w:rsidRPr="00CF30B8">
        <w:rPr>
          <w:szCs w:val="24"/>
        </w:rPr>
        <w:t xml:space="preserve"> debt. </w:t>
      </w:r>
      <w:r w:rsidR="007F06CA" w:rsidRPr="00CF30B8">
        <w:rPr>
          <w:szCs w:val="24"/>
        </w:rPr>
        <w:t>In paragraph 1.3</w:t>
      </w:r>
      <w:r w:rsidR="005A4C35" w:rsidRPr="00CF30B8">
        <w:rPr>
          <w:szCs w:val="24"/>
        </w:rPr>
        <w:t>,</w:t>
      </w:r>
      <w:r w:rsidR="007F06CA" w:rsidRPr="00CF30B8">
        <w:rPr>
          <w:szCs w:val="24"/>
        </w:rPr>
        <w:t xml:space="preserve"> it declared that t</w:t>
      </w:r>
      <w:r w:rsidR="00912D27" w:rsidRPr="00CF30B8">
        <w:rPr>
          <w:szCs w:val="24"/>
        </w:rPr>
        <w:t>he appellant</w:t>
      </w:r>
      <w:r w:rsidR="007F06CA" w:rsidRPr="00CF30B8">
        <w:rPr>
          <w:szCs w:val="24"/>
        </w:rPr>
        <w:t xml:space="preserve"> (respondent before it) ha</w:t>
      </w:r>
      <w:r w:rsidR="005A4C35" w:rsidRPr="00CF30B8">
        <w:rPr>
          <w:szCs w:val="24"/>
        </w:rPr>
        <w:t>d</w:t>
      </w:r>
      <w:r w:rsidR="007F06CA" w:rsidRPr="00CF30B8">
        <w:rPr>
          <w:szCs w:val="24"/>
        </w:rPr>
        <w:t xml:space="preserve"> no right to refuse the supply of municipal services with regard to th</w:t>
      </w:r>
      <w:r w:rsidR="00857806" w:rsidRPr="00CF30B8">
        <w:rPr>
          <w:szCs w:val="24"/>
        </w:rPr>
        <w:t>e</w:t>
      </w:r>
      <w:r w:rsidR="007F06CA" w:rsidRPr="00CF30B8">
        <w:rPr>
          <w:szCs w:val="24"/>
        </w:rPr>
        <w:t xml:space="preserve"> property only because of outstanding municipal debts older than two years.</w:t>
      </w:r>
      <w:r w:rsidR="00857806" w:rsidRPr="00CF30B8">
        <w:rPr>
          <w:szCs w:val="24"/>
        </w:rPr>
        <w:t xml:space="preserve"> I am not certain that the respondent was entitled to these orders.</w:t>
      </w:r>
      <w:r w:rsidR="00912D27" w:rsidRPr="00CF30B8">
        <w:rPr>
          <w:szCs w:val="24"/>
        </w:rPr>
        <w:t xml:space="preserve"> </w:t>
      </w:r>
      <w:r w:rsidR="000445D5" w:rsidRPr="00CF30B8">
        <w:rPr>
          <w:szCs w:val="24"/>
        </w:rPr>
        <w:t>With regard to paragra</w:t>
      </w:r>
      <w:r w:rsidR="00DD4530" w:rsidRPr="00CF30B8">
        <w:rPr>
          <w:szCs w:val="24"/>
        </w:rPr>
        <w:t>ph 1.2 of the order, it is true that in a letter addressed to the respondent’s attorney</w:t>
      </w:r>
      <w:r w:rsidR="005A4C35" w:rsidRPr="00CF30B8">
        <w:rPr>
          <w:szCs w:val="24"/>
        </w:rPr>
        <w:t>,</w:t>
      </w:r>
      <w:r w:rsidR="00DD4530" w:rsidRPr="00CF30B8">
        <w:rPr>
          <w:szCs w:val="24"/>
        </w:rPr>
        <w:t xml:space="preserve"> dated 22 July 2013</w:t>
      </w:r>
      <w:r w:rsidR="005A4C35" w:rsidRPr="00CF30B8">
        <w:rPr>
          <w:szCs w:val="24"/>
        </w:rPr>
        <w:t>,</w:t>
      </w:r>
      <w:r w:rsidR="00DD4530" w:rsidRPr="00CF30B8">
        <w:rPr>
          <w:szCs w:val="24"/>
        </w:rPr>
        <w:t xml:space="preserve"> the</w:t>
      </w:r>
      <w:r w:rsidR="000A30FD" w:rsidRPr="00CF30B8">
        <w:rPr>
          <w:szCs w:val="24"/>
        </w:rPr>
        <w:t xml:space="preserve"> appellant’s</w:t>
      </w:r>
      <w:r w:rsidR="00DD4530" w:rsidRPr="00CF30B8">
        <w:rPr>
          <w:szCs w:val="24"/>
        </w:rPr>
        <w:t xml:space="preserve"> acting Legal Director: Litigation and Claims wrote as follows:</w:t>
      </w:r>
    </w:p>
    <w:p w:rsidR="007211CC" w:rsidRPr="00CF30B8" w:rsidRDefault="007211CC" w:rsidP="00082A59">
      <w:pPr>
        <w:pStyle w:val="Quote"/>
        <w:spacing w:before="0" w:after="0"/>
        <w:rPr>
          <w:sz w:val="24"/>
          <w:szCs w:val="24"/>
        </w:rPr>
      </w:pPr>
    </w:p>
    <w:p w:rsidR="00EC2279" w:rsidRPr="00CF30B8" w:rsidRDefault="00DD4530" w:rsidP="007211CC">
      <w:pPr>
        <w:pStyle w:val="Quote"/>
        <w:spacing w:before="0" w:after="0" w:line="240" w:lineRule="auto"/>
        <w:ind w:left="720"/>
        <w:rPr>
          <w:sz w:val="24"/>
          <w:szCs w:val="24"/>
        </w:rPr>
      </w:pPr>
      <w:r w:rsidRPr="00CF30B8">
        <w:rPr>
          <w:sz w:val="24"/>
          <w:szCs w:val="24"/>
        </w:rPr>
        <w:t>‘</w:t>
      </w:r>
      <w:r w:rsidR="0078402D" w:rsidRPr="00CF30B8">
        <w:rPr>
          <w:sz w:val="24"/>
          <w:szCs w:val="24"/>
        </w:rPr>
        <w:t xml:space="preserve">1 Ms </w:t>
      </w:r>
      <w:proofErr w:type="spellStart"/>
      <w:r w:rsidR="0078402D" w:rsidRPr="00CF30B8">
        <w:rPr>
          <w:sz w:val="24"/>
          <w:szCs w:val="24"/>
        </w:rPr>
        <w:t>Briel</w:t>
      </w:r>
      <w:proofErr w:type="spellEnd"/>
      <w:r w:rsidR="0078402D" w:rsidRPr="00CF30B8">
        <w:rPr>
          <w:sz w:val="24"/>
          <w:szCs w:val="24"/>
        </w:rPr>
        <w:t xml:space="preserve"> indicated to Ms Prinsloo that in terms of Section 118(3) the</w:t>
      </w:r>
      <w:r w:rsidR="00671CFC" w:rsidRPr="00CF30B8">
        <w:rPr>
          <w:sz w:val="24"/>
          <w:szCs w:val="24"/>
        </w:rPr>
        <w:t xml:space="preserve"> City of Tshwane has a lien</w:t>
      </w:r>
      <w:r w:rsidR="0078402D" w:rsidRPr="00CF30B8">
        <w:rPr>
          <w:sz w:val="24"/>
          <w:szCs w:val="24"/>
        </w:rPr>
        <w:t xml:space="preserve"> over the property in terms of the historical debt, and also stated that in terms of the </w:t>
      </w:r>
      <w:proofErr w:type="spellStart"/>
      <w:r w:rsidR="0078402D" w:rsidRPr="00CF30B8">
        <w:rPr>
          <w:sz w:val="24"/>
          <w:szCs w:val="24"/>
        </w:rPr>
        <w:t>Math</w:t>
      </w:r>
      <w:r w:rsidR="00671CFC" w:rsidRPr="00CF30B8">
        <w:rPr>
          <w:sz w:val="24"/>
          <w:szCs w:val="24"/>
        </w:rPr>
        <w:t>abath</w:t>
      </w:r>
      <w:r w:rsidR="0078402D" w:rsidRPr="00CF30B8">
        <w:rPr>
          <w:sz w:val="24"/>
          <w:szCs w:val="24"/>
        </w:rPr>
        <w:t>e</w:t>
      </w:r>
      <w:proofErr w:type="spellEnd"/>
      <w:r w:rsidR="0078402D" w:rsidRPr="00CF30B8">
        <w:rPr>
          <w:sz w:val="24"/>
          <w:szCs w:val="24"/>
        </w:rPr>
        <w:t xml:space="preserve"> . . . judgment the above lien does not fall away after transfer of the property and that the </w:t>
      </w:r>
      <w:proofErr w:type="spellStart"/>
      <w:r w:rsidR="0078402D" w:rsidRPr="00CF30B8">
        <w:rPr>
          <w:sz w:val="24"/>
          <w:szCs w:val="24"/>
        </w:rPr>
        <w:t>CoT</w:t>
      </w:r>
      <w:proofErr w:type="spellEnd"/>
      <w:r w:rsidR="0078402D" w:rsidRPr="00CF30B8">
        <w:rPr>
          <w:sz w:val="24"/>
          <w:szCs w:val="24"/>
        </w:rPr>
        <w:t xml:space="preserve"> </w:t>
      </w:r>
      <w:r w:rsidR="0078402D" w:rsidRPr="00CF30B8">
        <w:rPr>
          <w:i/>
          <w:sz w:val="24"/>
          <w:szCs w:val="24"/>
        </w:rPr>
        <w:t xml:space="preserve">may </w:t>
      </w:r>
      <w:r w:rsidR="0078402D" w:rsidRPr="00CF30B8">
        <w:rPr>
          <w:sz w:val="24"/>
          <w:szCs w:val="24"/>
        </w:rPr>
        <w:t>hold the new owner liable for the historical debt;</w:t>
      </w:r>
    </w:p>
    <w:p w:rsidR="0078402D" w:rsidRPr="00CF30B8" w:rsidRDefault="0078402D" w:rsidP="007211CC">
      <w:pPr>
        <w:pStyle w:val="Quote"/>
        <w:spacing w:before="0" w:after="0" w:line="240" w:lineRule="auto"/>
        <w:ind w:left="720"/>
        <w:rPr>
          <w:sz w:val="24"/>
          <w:szCs w:val="24"/>
        </w:rPr>
      </w:pPr>
      <w:r w:rsidRPr="00CF30B8">
        <w:rPr>
          <w:sz w:val="24"/>
          <w:szCs w:val="24"/>
        </w:rPr>
        <w:t>. . .</w:t>
      </w:r>
      <w:r w:rsidR="00DD4530" w:rsidRPr="00CF30B8">
        <w:rPr>
          <w:sz w:val="24"/>
          <w:szCs w:val="24"/>
        </w:rPr>
        <w:t xml:space="preserve">   </w:t>
      </w:r>
    </w:p>
    <w:p w:rsidR="0078402D" w:rsidRPr="00CF30B8" w:rsidRDefault="0078402D" w:rsidP="007211CC">
      <w:pPr>
        <w:pStyle w:val="Quote"/>
        <w:spacing w:before="0" w:after="0" w:line="240" w:lineRule="auto"/>
        <w:ind w:left="720"/>
        <w:rPr>
          <w:sz w:val="24"/>
          <w:szCs w:val="24"/>
        </w:rPr>
      </w:pPr>
      <w:r w:rsidRPr="00CF30B8">
        <w:rPr>
          <w:sz w:val="24"/>
          <w:szCs w:val="24"/>
        </w:rPr>
        <w:t xml:space="preserve">4 The City of Tshwane is of the view that they </w:t>
      </w:r>
      <w:r w:rsidRPr="00CF30B8">
        <w:rPr>
          <w:i/>
          <w:sz w:val="24"/>
          <w:szCs w:val="24"/>
        </w:rPr>
        <w:t>may</w:t>
      </w:r>
      <w:r w:rsidRPr="00CF30B8">
        <w:rPr>
          <w:sz w:val="24"/>
          <w:szCs w:val="24"/>
        </w:rPr>
        <w:t xml:space="preserve"> proceed against the new owner for the historical debt.’</w:t>
      </w:r>
      <w:r w:rsidR="006E37A5" w:rsidRPr="00CF30B8">
        <w:rPr>
          <w:sz w:val="24"/>
          <w:szCs w:val="24"/>
        </w:rPr>
        <w:t xml:space="preserve"> </w:t>
      </w:r>
      <w:proofErr w:type="gramStart"/>
      <w:r w:rsidR="006E37A5" w:rsidRPr="00CF30B8">
        <w:rPr>
          <w:sz w:val="24"/>
          <w:szCs w:val="24"/>
        </w:rPr>
        <w:t>(</w:t>
      </w:r>
      <w:r w:rsidR="00111B6C" w:rsidRPr="00CF30B8">
        <w:rPr>
          <w:sz w:val="24"/>
          <w:szCs w:val="24"/>
        </w:rPr>
        <w:t>Own emphasis.</w:t>
      </w:r>
      <w:r w:rsidR="006E37A5" w:rsidRPr="00CF30B8">
        <w:rPr>
          <w:sz w:val="24"/>
          <w:szCs w:val="24"/>
        </w:rPr>
        <w:t>)</w:t>
      </w:r>
      <w:proofErr w:type="gramEnd"/>
    </w:p>
    <w:p w:rsidR="00082A59" w:rsidRPr="00CF30B8" w:rsidRDefault="00082A59" w:rsidP="00082A59">
      <w:pPr>
        <w:pStyle w:val="Quote"/>
        <w:spacing w:before="0" w:after="0"/>
        <w:rPr>
          <w:sz w:val="24"/>
          <w:szCs w:val="24"/>
        </w:rPr>
      </w:pPr>
    </w:p>
    <w:p w:rsidR="006E37A5" w:rsidRPr="00CF30B8" w:rsidRDefault="00B75983" w:rsidP="00B75983">
      <w:pPr>
        <w:pStyle w:val="Sectionnumbering"/>
        <w:numPr>
          <w:ilvl w:val="0"/>
          <w:numId w:val="0"/>
        </w:numPr>
        <w:spacing w:before="0" w:after="0"/>
        <w:rPr>
          <w:szCs w:val="24"/>
        </w:rPr>
      </w:pPr>
      <w:r w:rsidRPr="00CF30B8">
        <w:rPr>
          <w:szCs w:val="24"/>
        </w:rPr>
        <w:t>[22]</w:t>
      </w:r>
      <w:r w:rsidRPr="00CF30B8">
        <w:rPr>
          <w:szCs w:val="24"/>
        </w:rPr>
        <w:tab/>
      </w:r>
      <w:r w:rsidR="0078402D" w:rsidRPr="00CF30B8">
        <w:rPr>
          <w:szCs w:val="24"/>
        </w:rPr>
        <w:t xml:space="preserve">The appellant never stated that it </w:t>
      </w:r>
      <w:r w:rsidR="00671CFC" w:rsidRPr="00CF30B8">
        <w:rPr>
          <w:szCs w:val="24"/>
        </w:rPr>
        <w:t xml:space="preserve">was </w:t>
      </w:r>
      <w:r w:rsidR="0078402D" w:rsidRPr="00CF30B8">
        <w:rPr>
          <w:szCs w:val="24"/>
        </w:rPr>
        <w:t>h</w:t>
      </w:r>
      <w:r w:rsidR="00671CFC" w:rsidRPr="00CF30B8">
        <w:rPr>
          <w:szCs w:val="24"/>
        </w:rPr>
        <w:t>o</w:t>
      </w:r>
      <w:r w:rsidR="0078402D" w:rsidRPr="00CF30B8">
        <w:rPr>
          <w:szCs w:val="24"/>
        </w:rPr>
        <w:t>ld</w:t>
      </w:r>
      <w:r w:rsidR="00671CFC" w:rsidRPr="00CF30B8">
        <w:rPr>
          <w:szCs w:val="24"/>
        </w:rPr>
        <w:t>ing</w:t>
      </w:r>
      <w:r w:rsidR="0078402D" w:rsidRPr="00CF30B8">
        <w:rPr>
          <w:szCs w:val="24"/>
        </w:rPr>
        <w:t xml:space="preserve"> the respondent liable </w:t>
      </w:r>
      <w:r w:rsidR="006E37A5" w:rsidRPr="00CF30B8">
        <w:rPr>
          <w:szCs w:val="24"/>
        </w:rPr>
        <w:t xml:space="preserve">for the historical debt. </w:t>
      </w:r>
      <w:r w:rsidR="001C60EA" w:rsidRPr="00CF30B8">
        <w:rPr>
          <w:szCs w:val="24"/>
        </w:rPr>
        <w:t xml:space="preserve">It merely expressed a belief that it could proceed against the </w:t>
      </w:r>
      <w:r w:rsidR="00DC6721" w:rsidRPr="00CF30B8">
        <w:rPr>
          <w:szCs w:val="24"/>
        </w:rPr>
        <w:t>‘</w:t>
      </w:r>
      <w:r w:rsidR="001C60EA" w:rsidRPr="00CF30B8">
        <w:rPr>
          <w:szCs w:val="24"/>
        </w:rPr>
        <w:t xml:space="preserve">new </w:t>
      </w:r>
      <w:r w:rsidR="001C60EA" w:rsidRPr="00CF30B8">
        <w:rPr>
          <w:szCs w:val="24"/>
        </w:rPr>
        <w:lastRenderedPageBreak/>
        <w:t>owner</w:t>
      </w:r>
      <w:r w:rsidR="00DC6721" w:rsidRPr="00CF30B8">
        <w:rPr>
          <w:szCs w:val="24"/>
        </w:rPr>
        <w:t xml:space="preserve">’ - which could be Ms Prinsloo who was expecting to take transfer of the property - </w:t>
      </w:r>
      <w:r w:rsidR="001C60EA" w:rsidRPr="00CF30B8">
        <w:rPr>
          <w:szCs w:val="24"/>
        </w:rPr>
        <w:t xml:space="preserve">for recovery of the historical debt. </w:t>
      </w:r>
      <w:r w:rsidR="006E37A5" w:rsidRPr="00EF05CC">
        <w:rPr>
          <w:szCs w:val="24"/>
          <w:highlight w:val="yellow"/>
        </w:rPr>
        <w:t>The respondent</w:t>
      </w:r>
      <w:r w:rsidR="001C60EA" w:rsidRPr="00EF05CC">
        <w:rPr>
          <w:szCs w:val="24"/>
          <w:highlight w:val="yellow"/>
        </w:rPr>
        <w:t>, therefore,</w:t>
      </w:r>
      <w:r w:rsidR="006E37A5" w:rsidRPr="00EF05CC">
        <w:rPr>
          <w:szCs w:val="24"/>
          <w:highlight w:val="yellow"/>
        </w:rPr>
        <w:t xml:space="preserve"> acted prematurely in seeking the order granted in paragraph 1.2</w:t>
      </w:r>
      <w:r w:rsidR="00DC6721" w:rsidRPr="00CF30B8">
        <w:rPr>
          <w:szCs w:val="24"/>
        </w:rPr>
        <w:t xml:space="preserve"> of the order of the court a quo</w:t>
      </w:r>
      <w:r w:rsidR="006E37A5" w:rsidRPr="00CF30B8">
        <w:rPr>
          <w:szCs w:val="24"/>
        </w:rPr>
        <w:t>. The real issue, at that stage, was the appellant’s refusal to conclude a contract with Ms Prinsloo for the provision of municipal services.</w:t>
      </w:r>
    </w:p>
    <w:p w:rsidR="00082A59" w:rsidRPr="00CF30B8" w:rsidRDefault="00082A59" w:rsidP="00082A59">
      <w:pPr>
        <w:pStyle w:val="Sectionnumbering"/>
        <w:numPr>
          <w:ilvl w:val="0"/>
          <w:numId w:val="0"/>
        </w:numPr>
        <w:spacing w:before="0" w:after="0"/>
        <w:rPr>
          <w:szCs w:val="24"/>
        </w:rPr>
      </w:pPr>
    </w:p>
    <w:p w:rsidR="005C7E67" w:rsidRPr="00CF30B8" w:rsidRDefault="00B75983" w:rsidP="00B75983">
      <w:pPr>
        <w:pStyle w:val="Sectionnumbering"/>
        <w:numPr>
          <w:ilvl w:val="0"/>
          <w:numId w:val="0"/>
        </w:numPr>
        <w:spacing w:before="0" w:after="0"/>
        <w:rPr>
          <w:szCs w:val="24"/>
        </w:rPr>
      </w:pPr>
      <w:r w:rsidRPr="00CF30B8">
        <w:rPr>
          <w:szCs w:val="24"/>
        </w:rPr>
        <w:t>[23]</w:t>
      </w:r>
      <w:r w:rsidRPr="00CF30B8">
        <w:rPr>
          <w:szCs w:val="24"/>
        </w:rPr>
        <w:tab/>
      </w:r>
      <w:r w:rsidR="005C7E67" w:rsidRPr="00CF30B8">
        <w:rPr>
          <w:szCs w:val="24"/>
        </w:rPr>
        <w:t>However, in view of the provisions of s</w:t>
      </w:r>
      <w:r w:rsidR="00806A94" w:rsidRPr="00CF30B8">
        <w:rPr>
          <w:szCs w:val="24"/>
        </w:rPr>
        <w:t> </w:t>
      </w:r>
      <w:r w:rsidR="005C7E67" w:rsidRPr="00CF30B8">
        <w:rPr>
          <w:szCs w:val="24"/>
        </w:rPr>
        <w:t>19(1</w:t>
      </w:r>
      <w:proofErr w:type="gramStart"/>
      <w:r w:rsidR="005C7E67" w:rsidRPr="00CF30B8">
        <w:rPr>
          <w:szCs w:val="24"/>
        </w:rPr>
        <w:t>)</w:t>
      </w:r>
      <w:r w:rsidR="005C7E67" w:rsidRPr="00CF30B8">
        <w:rPr>
          <w:i/>
          <w:szCs w:val="24"/>
        </w:rPr>
        <w:t>(</w:t>
      </w:r>
      <w:proofErr w:type="gramEnd"/>
      <w:r w:rsidR="005C7E67" w:rsidRPr="00CF30B8">
        <w:rPr>
          <w:i/>
          <w:szCs w:val="24"/>
        </w:rPr>
        <w:t>a)</w:t>
      </w:r>
      <w:r w:rsidR="005C7E67" w:rsidRPr="00CF30B8">
        <w:rPr>
          <w:szCs w:val="24"/>
        </w:rPr>
        <w:t>(iii) of the Supreme Court Act 59 of 1959</w:t>
      </w:r>
      <w:r w:rsidR="005C7E67" w:rsidRPr="00CF30B8">
        <w:rPr>
          <w:rStyle w:val="FootnoteReference"/>
          <w:szCs w:val="24"/>
        </w:rPr>
        <w:footnoteReference w:id="22"/>
      </w:r>
      <w:r w:rsidR="00FB78CD" w:rsidRPr="00CF30B8">
        <w:rPr>
          <w:szCs w:val="24"/>
        </w:rPr>
        <w:t xml:space="preserve"> (reproduced in</w:t>
      </w:r>
      <w:r w:rsidR="005C7E67" w:rsidRPr="00CF30B8">
        <w:rPr>
          <w:szCs w:val="24"/>
        </w:rPr>
        <w:t xml:space="preserve"> s 21 of the Superior Courts Act 10 of 2013)</w:t>
      </w:r>
      <w:r w:rsidR="00A85692" w:rsidRPr="00CF30B8">
        <w:rPr>
          <w:szCs w:val="24"/>
        </w:rPr>
        <w:t>,</w:t>
      </w:r>
      <w:r w:rsidR="007031CF" w:rsidRPr="00CF30B8">
        <w:rPr>
          <w:rStyle w:val="FootnoteReference"/>
          <w:szCs w:val="24"/>
        </w:rPr>
        <w:footnoteReference w:id="23"/>
      </w:r>
      <w:r w:rsidR="00D56F65" w:rsidRPr="00CF30B8">
        <w:rPr>
          <w:szCs w:val="24"/>
        </w:rPr>
        <w:t xml:space="preserve"> </w:t>
      </w:r>
      <w:r w:rsidR="00CC2C9C" w:rsidRPr="00CF30B8">
        <w:rPr>
          <w:szCs w:val="24"/>
        </w:rPr>
        <w:t>the court a quo</w:t>
      </w:r>
      <w:r w:rsidR="00FB78CD" w:rsidRPr="00CF30B8">
        <w:rPr>
          <w:szCs w:val="24"/>
        </w:rPr>
        <w:t xml:space="preserve"> was entitled, in the exercise of its discretion,</w:t>
      </w:r>
      <w:r w:rsidR="00CC2C9C" w:rsidRPr="00CF30B8">
        <w:rPr>
          <w:szCs w:val="24"/>
        </w:rPr>
        <w:t xml:space="preserve"> </w:t>
      </w:r>
      <w:r w:rsidR="00CF76E7" w:rsidRPr="00CF30B8">
        <w:rPr>
          <w:szCs w:val="24"/>
        </w:rPr>
        <w:t xml:space="preserve">to </w:t>
      </w:r>
      <w:r w:rsidR="00391014" w:rsidRPr="00CF30B8">
        <w:rPr>
          <w:szCs w:val="24"/>
        </w:rPr>
        <w:t>deal</w:t>
      </w:r>
      <w:r w:rsidR="00CC2C9C" w:rsidRPr="00CF30B8">
        <w:rPr>
          <w:szCs w:val="24"/>
        </w:rPr>
        <w:t xml:space="preserve"> with the issue</w:t>
      </w:r>
      <w:r w:rsidR="00CF76E7" w:rsidRPr="00CF30B8">
        <w:rPr>
          <w:szCs w:val="24"/>
        </w:rPr>
        <w:t xml:space="preserve"> of liability for the historical debt</w:t>
      </w:r>
      <w:r w:rsidR="00CC2C9C" w:rsidRPr="00CF30B8">
        <w:rPr>
          <w:szCs w:val="24"/>
        </w:rPr>
        <w:t>.</w:t>
      </w:r>
      <w:r w:rsidR="00EC67FE" w:rsidRPr="00CF30B8">
        <w:rPr>
          <w:rStyle w:val="FootnoteReference"/>
          <w:szCs w:val="24"/>
        </w:rPr>
        <w:footnoteReference w:id="24"/>
      </w:r>
      <w:r w:rsidR="00CF76E7" w:rsidRPr="00CF30B8">
        <w:rPr>
          <w:szCs w:val="24"/>
        </w:rPr>
        <w:t xml:space="preserve"> Counsel for the appellant did not argue otherwise.</w:t>
      </w:r>
      <w:r w:rsidR="00CC2C9C" w:rsidRPr="00CF30B8">
        <w:rPr>
          <w:szCs w:val="24"/>
        </w:rPr>
        <w:t xml:space="preserve"> </w:t>
      </w:r>
      <w:r w:rsidR="00D27118" w:rsidRPr="00CF30B8">
        <w:rPr>
          <w:szCs w:val="24"/>
        </w:rPr>
        <w:t>I agree with the court a quo that ‘. . . in the absence of an agreement to that effect, the [respond</w:t>
      </w:r>
      <w:r w:rsidR="001A6CD4" w:rsidRPr="00CF30B8">
        <w:rPr>
          <w:szCs w:val="24"/>
        </w:rPr>
        <w:t>ent] . . .</w:t>
      </w:r>
      <w:r w:rsidR="00D27118" w:rsidRPr="00CF30B8">
        <w:rPr>
          <w:szCs w:val="24"/>
        </w:rPr>
        <w:t xml:space="preserve"> has not become a co-debtor with regard to the principal debt</w:t>
      </w:r>
      <w:r w:rsidR="001A6CD4" w:rsidRPr="00CF30B8">
        <w:rPr>
          <w:szCs w:val="24"/>
        </w:rPr>
        <w:t xml:space="preserve"> . . .</w:t>
      </w:r>
      <w:proofErr w:type="gramStart"/>
      <w:r w:rsidR="00D27118" w:rsidRPr="00CF30B8">
        <w:rPr>
          <w:szCs w:val="24"/>
        </w:rPr>
        <w:t>’.</w:t>
      </w:r>
      <w:proofErr w:type="gramEnd"/>
      <w:r w:rsidR="00D27118" w:rsidRPr="00CF30B8">
        <w:rPr>
          <w:rStyle w:val="FootnoteReference"/>
          <w:szCs w:val="24"/>
        </w:rPr>
        <w:footnoteReference w:id="25"/>
      </w:r>
      <w:r w:rsidR="00D27118" w:rsidRPr="00CF30B8">
        <w:rPr>
          <w:szCs w:val="24"/>
        </w:rPr>
        <w:t xml:space="preserve"> </w:t>
      </w:r>
      <w:r w:rsidR="00483858" w:rsidRPr="00CF30B8">
        <w:rPr>
          <w:szCs w:val="24"/>
        </w:rPr>
        <w:t>But</w:t>
      </w:r>
      <w:r w:rsidR="00036AF3" w:rsidRPr="00CF30B8">
        <w:rPr>
          <w:szCs w:val="24"/>
        </w:rPr>
        <w:t xml:space="preserve">, as has been shown above, </w:t>
      </w:r>
      <w:r w:rsidR="00036AF3" w:rsidRPr="00EF05CC">
        <w:rPr>
          <w:szCs w:val="24"/>
          <w:highlight w:val="yellow"/>
        </w:rPr>
        <w:t>the sale in execution and subsequent transfer of the property into the name of the respondent did not extinguish the hypothec created by s</w:t>
      </w:r>
      <w:r w:rsidR="00082A59" w:rsidRPr="00EF05CC">
        <w:rPr>
          <w:szCs w:val="24"/>
          <w:highlight w:val="yellow"/>
        </w:rPr>
        <w:t> </w:t>
      </w:r>
      <w:r w:rsidR="00036AF3" w:rsidRPr="00EF05CC">
        <w:rPr>
          <w:szCs w:val="24"/>
          <w:highlight w:val="yellow"/>
        </w:rPr>
        <w:t>118(3) of the Act in favour of the appellant.</w:t>
      </w:r>
      <w:r w:rsidR="00036AF3" w:rsidRPr="00CF30B8">
        <w:rPr>
          <w:szCs w:val="24"/>
        </w:rPr>
        <w:t xml:space="preserve"> </w:t>
      </w:r>
      <w:r w:rsidR="00A17C3A" w:rsidRPr="00CF30B8">
        <w:rPr>
          <w:szCs w:val="24"/>
        </w:rPr>
        <w:t>This means that nothing would prevent</w:t>
      </w:r>
      <w:r w:rsidR="006E0E35" w:rsidRPr="00CF30B8">
        <w:rPr>
          <w:szCs w:val="24"/>
        </w:rPr>
        <w:t xml:space="preserve"> the appellant</w:t>
      </w:r>
      <w:r w:rsidR="00A17C3A" w:rsidRPr="00CF30B8">
        <w:rPr>
          <w:szCs w:val="24"/>
        </w:rPr>
        <w:t xml:space="preserve"> from</w:t>
      </w:r>
      <w:r w:rsidR="006E0E35" w:rsidRPr="00CF30B8">
        <w:rPr>
          <w:szCs w:val="24"/>
        </w:rPr>
        <w:t xml:space="preserve"> </w:t>
      </w:r>
      <w:r w:rsidR="006E0E35" w:rsidRPr="00EF05CC">
        <w:rPr>
          <w:szCs w:val="24"/>
          <w:highlight w:val="yellow"/>
        </w:rPr>
        <w:t>perfecting its security over the property</w:t>
      </w:r>
      <w:r w:rsidR="00A17C3A" w:rsidRPr="00CF30B8">
        <w:rPr>
          <w:szCs w:val="24"/>
        </w:rPr>
        <w:t>, should it wish to do so,</w:t>
      </w:r>
      <w:r w:rsidR="006E0E35" w:rsidRPr="00CF30B8">
        <w:rPr>
          <w:szCs w:val="24"/>
        </w:rPr>
        <w:t xml:space="preserve"> to ensure</w:t>
      </w:r>
      <w:r w:rsidR="00A17C3A" w:rsidRPr="00CF30B8">
        <w:rPr>
          <w:szCs w:val="24"/>
        </w:rPr>
        <w:t xml:space="preserve"> payment of the historical debt.</w:t>
      </w:r>
      <w:r w:rsidR="006E0E35" w:rsidRPr="00CF30B8">
        <w:rPr>
          <w:szCs w:val="24"/>
        </w:rPr>
        <w:t xml:space="preserve"> </w:t>
      </w:r>
      <w:r w:rsidR="007736E1" w:rsidRPr="00CF30B8">
        <w:rPr>
          <w:szCs w:val="24"/>
        </w:rPr>
        <w:t>Perfecting its security would involve obtaining a court order, selling the property in execution and applying the proceeds to pay off the outstanding historic</w:t>
      </w:r>
      <w:r w:rsidR="00C27BE0" w:rsidRPr="00CF30B8">
        <w:rPr>
          <w:szCs w:val="24"/>
        </w:rPr>
        <w:t>al</w:t>
      </w:r>
      <w:r w:rsidR="007736E1" w:rsidRPr="00CF30B8">
        <w:rPr>
          <w:szCs w:val="24"/>
        </w:rPr>
        <w:t xml:space="preserve"> debt. </w:t>
      </w:r>
      <w:r w:rsidR="003C61E4" w:rsidRPr="00EF05CC">
        <w:rPr>
          <w:szCs w:val="24"/>
          <w:highlight w:val="yellow"/>
        </w:rPr>
        <w:t xml:space="preserve">In that event, the respondent might be forced to pay the debt in order to avoid </w:t>
      </w:r>
      <w:r w:rsidR="00DF29CD" w:rsidRPr="00EF05CC">
        <w:rPr>
          <w:szCs w:val="24"/>
          <w:highlight w:val="yellow"/>
        </w:rPr>
        <w:t>losing his property. It is in that sense that the respondent, as owner of the property, could be said to be liable for the historical debt</w:t>
      </w:r>
      <w:r w:rsidR="00DF29CD" w:rsidRPr="00CF30B8">
        <w:rPr>
          <w:szCs w:val="24"/>
        </w:rPr>
        <w:t>.</w:t>
      </w:r>
      <w:r w:rsidR="003C61E4" w:rsidRPr="00CF30B8">
        <w:rPr>
          <w:szCs w:val="24"/>
        </w:rPr>
        <w:t xml:space="preserve"> It m</w:t>
      </w:r>
      <w:r w:rsidR="006E0E35" w:rsidRPr="00CF30B8">
        <w:rPr>
          <w:szCs w:val="24"/>
        </w:rPr>
        <w:t>ust be remembered</w:t>
      </w:r>
      <w:r w:rsidR="00DF29CD" w:rsidRPr="00CF30B8">
        <w:rPr>
          <w:szCs w:val="24"/>
        </w:rPr>
        <w:t>, at this point,</w:t>
      </w:r>
      <w:r w:rsidR="006E0E35" w:rsidRPr="00CF30B8">
        <w:rPr>
          <w:szCs w:val="24"/>
        </w:rPr>
        <w:t xml:space="preserve"> that the constitutionality of s</w:t>
      </w:r>
      <w:r w:rsidR="00806A94" w:rsidRPr="00CF30B8">
        <w:rPr>
          <w:szCs w:val="24"/>
        </w:rPr>
        <w:t> </w:t>
      </w:r>
      <w:r w:rsidR="006E0E35" w:rsidRPr="00CF30B8">
        <w:rPr>
          <w:szCs w:val="24"/>
        </w:rPr>
        <w:t xml:space="preserve">118(3) of the Act is not </w:t>
      </w:r>
      <w:r w:rsidR="00EC67FE" w:rsidRPr="00CF30B8">
        <w:rPr>
          <w:szCs w:val="24"/>
        </w:rPr>
        <w:t>in issue in this matter</w:t>
      </w:r>
      <w:r w:rsidR="006E0E35" w:rsidRPr="00CF30B8">
        <w:rPr>
          <w:szCs w:val="24"/>
        </w:rPr>
        <w:t>.</w:t>
      </w:r>
    </w:p>
    <w:p w:rsidR="00082A59" w:rsidRPr="00CF30B8" w:rsidRDefault="00082A59" w:rsidP="00082A59">
      <w:pPr>
        <w:pStyle w:val="Sectionnumbering"/>
        <w:numPr>
          <w:ilvl w:val="0"/>
          <w:numId w:val="0"/>
        </w:numPr>
        <w:spacing w:before="0" w:after="0"/>
        <w:rPr>
          <w:szCs w:val="24"/>
        </w:rPr>
      </w:pPr>
    </w:p>
    <w:p w:rsidR="009242ED" w:rsidRPr="00CF30B8" w:rsidRDefault="00B75983" w:rsidP="00B75983">
      <w:pPr>
        <w:pStyle w:val="Sectionnumbering"/>
        <w:numPr>
          <w:ilvl w:val="0"/>
          <w:numId w:val="0"/>
        </w:numPr>
        <w:spacing w:before="0" w:after="0"/>
        <w:rPr>
          <w:szCs w:val="24"/>
        </w:rPr>
      </w:pPr>
      <w:r w:rsidRPr="00CF30B8">
        <w:rPr>
          <w:szCs w:val="24"/>
        </w:rPr>
        <w:t>[24]</w:t>
      </w:r>
      <w:r w:rsidRPr="00CF30B8">
        <w:rPr>
          <w:szCs w:val="24"/>
        </w:rPr>
        <w:tab/>
      </w:r>
      <w:r w:rsidR="006E37A5" w:rsidRPr="00CF30B8">
        <w:rPr>
          <w:szCs w:val="24"/>
        </w:rPr>
        <w:t xml:space="preserve">As to paragraph </w:t>
      </w:r>
      <w:r w:rsidR="00EC2279" w:rsidRPr="00CF30B8">
        <w:rPr>
          <w:szCs w:val="24"/>
        </w:rPr>
        <w:t>1.3, it is unclear how</w:t>
      </w:r>
      <w:r w:rsidR="009F0C70" w:rsidRPr="00CF30B8">
        <w:rPr>
          <w:szCs w:val="24"/>
        </w:rPr>
        <w:t>, and on what basis,</w:t>
      </w:r>
      <w:r w:rsidR="00EC2279" w:rsidRPr="00CF30B8">
        <w:rPr>
          <w:szCs w:val="24"/>
        </w:rPr>
        <w:t xml:space="preserve"> that order was granted</w:t>
      </w:r>
      <w:r w:rsidR="005740CA" w:rsidRPr="00CF30B8">
        <w:rPr>
          <w:szCs w:val="24"/>
        </w:rPr>
        <w:t xml:space="preserve">. It appears, from the judgment of the court a quo (para 17), that the submission of counsel for the appellant was that ‘the real issue [was] not the opening </w:t>
      </w:r>
      <w:r w:rsidR="005740CA" w:rsidRPr="00CF30B8">
        <w:rPr>
          <w:szCs w:val="24"/>
        </w:rPr>
        <w:lastRenderedPageBreak/>
        <w:t>of a new account, but the question whether the [appellant] is entitled to refuse the supply of municipal services as long as there is a debt outstanding with regard to this property’. The order granted in paragraph 1.3 seem</w:t>
      </w:r>
      <w:r w:rsidR="00807624" w:rsidRPr="00CF30B8">
        <w:rPr>
          <w:szCs w:val="24"/>
        </w:rPr>
        <w:t xml:space="preserve">s to have been fashioned from this submission. </w:t>
      </w:r>
      <w:r w:rsidR="00807624" w:rsidRPr="00EF05CC">
        <w:rPr>
          <w:szCs w:val="24"/>
          <w:highlight w:val="yellow"/>
        </w:rPr>
        <w:t>But the order sought</w:t>
      </w:r>
      <w:r w:rsidR="00EC2279" w:rsidRPr="00EF05CC">
        <w:rPr>
          <w:szCs w:val="24"/>
          <w:highlight w:val="yellow"/>
        </w:rPr>
        <w:t xml:space="preserve"> in the notice of motion</w:t>
      </w:r>
      <w:r w:rsidR="00EC2279" w:rsidRPr="00CF30B8">
        <w:rPr>
          <w:szCs w:val="24"/>
        </w:rPr>
        <w:t xml:space="preserve">, </w:t>
      </w:r>
      <w:r w:rsidR="001A2B0F" w:rsidRPr="00CF30B8">
        <w:rPr>
          <w:szCs w:val="24"/>
        </w:rPr>
        <w:t xml:space="preserve">which was not amended, </w:t>
      </w:r>
      <w:r w:rsidR="00EC2279" w:rsidRPr="00CF30B8">
        <w:rPr>
          <w:szCs w:val="24"/>
        </w:rPr>
        <w:t xml:space="preserve">was </w:t>
      </w:r>
      <w:r w:rsidR="00C27BE0" w:rsidRPr="00CF30B8">
        <w:rPr>
          <w:szCs w:val="24"/>
        </w:rPr>
        <w:t xml:space="preserve">not a </w:t>
      </w:r>
      <w:proofErr w:type="spellStart"/>
      <w:r w:rsidR="00C27BE0" w:rsidRPr="00CF30B8">
        <w:rPr>
          <w:szCs w:val="24"/>
        </w:rPr>
        <w:t>declarator</w:t>
      </w:r>
      <w:proofErr w:type="spellEnd"/>
      <w:r w:rsidR="00807624" w:rsidRPr="00CF30B8">
        <w:rPr>
          <w:szCs w:val="24"/>
        </w:rPr>
        <w:t>; it wa</w:t>
      </w:r>
      <w:r w:rsidR="00807624" w:rsidRPr="00EF05CC">
        <w:rPr>
          <w:szCs w:val="24"/>
          <w:highlight w:val="yellow"/>
        </w:rPr>
        <w:t xml:space="preserve">s </w:t>
      </w:r>
      <w:r w:rsidR="00EC2279" w:rsidRPr="00EF05CC">
        <w:rPr>
          <w:szCs w:val="24"/>
          <w:highlight w:val="yellow"/>
        </w:rPr>
        <w:t xml:space="preserve">a </w:t>
      </w:r>
      <w:r w:rsidR="00EC2279" w:rsidRPr="00EF05CC">
        <w:rPr>
          <w:i/>
          <w:szCs w:val="24"/>
          <w:highlight w:val="yellow"/>
        </w:rPr>
        <w:t>mandamus</w:t>
      </w:r>
      <w:r w:rsidR="00EC2279" w:rsidRPr="00EF05CC">
        <w:rPr>
          <w:szCs w:val="24"/>
          <w:highlight w:val="yellow"/>
        </w:rPr>
        <w:t xml:space="preserve"> directing the appellant ‘to open a Municipal account in the name of the Applicant</w:t>
      </w:r>
      <w:r w:rsidR="00EC2279" w:rsidRPr="00CF30B8">
        <w:rPr>
          <w:szCs w:val="24"/>
        </w:rPr>
        <w:t xml:space="preserve"> or his assigns and successors in title of The Property . . .</w:t>
      </w:r>
      <w:proofErr w:type="gramStart"/>
      <w:r w:rsidR="00EC2279" w:rsidRPr="00CF30B8">
        <w:rPr>
          <w:szCs w:val="24"/>
        </w:rPr>
        <w:t>’.</w:t>
      </w:r>
      <w:proofErr w:type="gramEnd"/>
      <w:r w:rsidR="00EC2279" w:rsidRPr="00CF30B8">
        <w:rPr>
          <w:szCs w:val="24"/>
        </w:rPr>
        <w:t xml:space="preserve"> </w:t>
      </w:r>
      <w:r w:rsidR="001A2B0F" w:rsidRPr="00CF30B8">
        <w:rPr>
          <w:szCs w:val="24"/>
        </w:rPr>
        <w:t xml:space="preserve">In my view, however, </w:t>
      </w:r>
      <w:r w:rsidR="00FA3614" w:rsidRPr="00EF05CC">
        <w:rPr>
          <w:szCs w:val="24"/>
          <w:highlight w:val="yellow"/>
        </w:rPr>
        <w:t>the</w:t>
      </w:r>
      <w:r w:rsidR="001A2B0F" w:rsidRPr="00EF05CC">
        <w:rPr>
          <w:szCs w:val="24"/>
          <w:highlight w:val="yellow"/>
        </w:rPr>
        <w:t xml:space="preserve"> </w:t>
      </w:r>
      <w:r w:rsidR="001A2B0F" w:rsidRPr="00EF05CC">
        <w:rPr>
          <w:i/>
          <w:szCs w:val="24"/>
          <w:highlight w:val="yellow"/>
        </w:rPr>
        <w:t>mandamus</w:t>
      </w:r>
      <w:r w:rsidR="00EC2279" w:rsidRPr="00EF05CC">
        <w:rPr>
          <w:szCs w:val="24"/>
          <w:highlight w:val="yellow"/>
        </w:rPr>
        <w:t xml:space="preserve"> should have been </w:t>
      </w:r>
      <w:r w:rsidR="001A2B0F" w:rsidRPr="00EF05CC">
        <w:rPr>
          <w:szCs w:val="24"/>
          <w:highlight w:val="yellow"/>
        </w:rPr>
        <w:t>sought by, or in the name of, Ms Prinsloo</w:t>
      </w:r>
      <w:r w:rsidR="001A2B0F" w:rsidRPr="00CF30B8">
        <w:rPr>
          <w:szCs w:val="24"/>
        </w:rPr>
        <w:t xml:space="preserve">. The </w:t>
      </w:r>
      <w:r w:rsidR="001A2B0F" w:rsidRPr="00EF05CC">
        <w:rPr>
          <w:szCs w:val="24"/>
          <w:highlight w:val="yellow"/>
        </w:rPr>
        <w:t>respondent never applied</w:t>
      </w:r>
      <w:r w:rsidR="001A2B0F" w:rsidRPr="00CF30B8">
        <w:rPr>
          <w:szCs w:val="24"/>
        </w:rPr>
        <w:t xml:space="preserve"> for and </w:t>
      </w:r>
      <w:r w:rsidR="001D49A2" w:rsidRPr="00CF30B8">
        <w:rPr>
          <w:szCs w:val="24"/>
        </w:rPr>
        <w:t xml:space="preserve">the appellant </w:t>
      </w:r>
      <w:r w:rsidR="001A2B0F" w:rsidRPr="00CF30B8">
        <w:rPr>
          <w:szCs w:val="24"/>
        </w:rPr>
        <w:t>never refused</w:t>
      </w:r>
      <w:r w:rsidR="001D49A2" w:rsidRPr="00CF30B8">
        <w:rPr>
          <w:szCs w:val="24"/>
        </w:rPr>
        <w:t xml:space="preserve"> him</w:t>
      </w:r>
      <w:r w:rsidR="001A2B0F" w:rsidRPr="00CF30B8">
        <w:rPr>
          <w:szCs w:val="24"/>
        </w:rPr>
        <w:t xml:space="preserve"> the supply of municipal services to the property.</w:t>
      </w:r>
      <w:r w:rsidR="006D7023" w:rsidRPr="00CF30B8">
        <w:rPr>
          <w:szCs w:val="24"/>
        </w:rPr>
        <w:t xml:space="preserve"> </w:t>
      </w:r>
      <w:r w:rsidR="009F0C70" w:rsidRPr="00CF30B8">
        <w:rPr>
          <w:szCs w:val="24"/>
        </w:rPr>
        <w:t>Moreover,</w:t>
      </w:r>
      <w:r w:rsidR="006D7023" w:rsidRPr="00CF30B8">
        <w:rPr>
          <w:szCs w:val="24"/>
        </w:rPr>
        <w:t xml:space="preserve"> Ms Prinsloo was not a party in the application. It </w:t>
      </w:r>
      <w:r w:rsidR="006D7023" w:rsidRPr="00EF05CC">
        <w:rPr>
          <w:szCs w:val="24"/>
          <w:highlight w:val="yellow"/>
        </w:rPr>
        <w:t>is for this reason</w:t>
      </w:r>
      <w:r w:rsidR="00CE5441" w:rsidRPr="00EF05CC">
        <w:rPr>
          <w:szCs w:val="24"/>
          <w:highlight w:val="yellow"/>
        </w:rPr>
        <w:t>, I think, that the court a quo</w:t>
      </w:r>
      <w:r w:rsidR="006D7023" w:rsidRPr="00EF05CC">
        <w:rPr>
          <w:szCs w:val="24"/>
          <w:highlight w:val="yellow"/>
        </w:rPr>
        <w:t xml:space="preserve"> did not grant the </w:t>
      </w:r>
      <w:r w:rsidR="006D7023" w:rsidRPr="00EF05CC">
        <w:rPr>
          <w:i/>
          <w:szCs w:val="24"/>
          <w:highlight w:val="yellow"/>
        </w:rPr>
        <w:t>mandamus</w:t>
      </w:r>
      <w:r w:rsidR="006D7023" w:rsidRPr="00EF05CC">
        <w:rPr>
          <w:szCs w:val="24"/>
          <w:highlight w:val="yellow"/>
        </w:rPr>
        <w:t xml:space="preserve"> sought in the notice of motion</w:t>
      </w:r>
      <w:r w:rsidR="006D7023" w:rsidRPr="00CF30B8">
        <w:rPr>
          <w:szCs w:val="24"/>
        </w:rPr>
        <w:t>.</w:t>
      </w:r>
      <w:r w:rsidR="0024549D" w:rsidRPr="00CF30B8">
        <w:rPr>
          <w:szCs w:val="24"/>
        </w:rPr>
        <w:t xml:space="preserve"> No case was made out in the papers for the order (</w:t>
      </w:r>
      <w:r w:rsidR="0024549D" w:rsidRPr="00CF30B8">
        <w:rPr>
          <w:i/>
          <w:szCs w:val="24"/>
        </w:rPr>
        <w:t>mandamus</w:t>
      </w:r>
      <w:r w:rsidR="0024549D" w:rsidRPr="00CF30B8">
        <w:rPr>
          <w:szCs w:val="24"/>
        </w:rPr>
        <w:t>) sought in his name.</w:t>
      </w:r>
      <w:r w:rsidR="00AD08E3" w:rsidRPr="00CF30B8">
        <w:rPr>
          <w:szCs w:val="24"/>
        </w:rPr>
        <w:t xml:space="preserve"> In my view, </w:t>
      </w:r>
      <w:r w:rsidR="0024549D" w:rsidRPr="00CF30B8">
        <w:rPr>
          <w:szCs w:val="24"/>
        </w:rPr>
        <w:t>it was not open to the court a quo</w:t>
      </w:r>
      <w:r w:rsidR="00AD08E3" w:rsidRPr="00CF30B8">
        <w:rPr>
          <w:szCs w:val="24"/>
        </w:rPr>
        <w:t xml:space="preserve"> </w:t>
      </w:r>
      <w:r w:rsidR="0024549D" w:rsidRPr="00CF30B8">
        <w:rPr>
          <w:szCs w:val="24"/>
        </w:rPr>
        <w:t xml:space="preserve">to grant </w:t>
      </w:r>
      <w:r w:rsidR="00AD08E3" w:rsidRPr="00CF30B8">
        <w:rPr>
          <w:szCs w:val="24"/>
        </w:rPr>
        <w:t>paragraph 1.3 of its order</w:t>
      </w:r>
      <w:r w:rsidR="0024549D" w:rsidRPr="00CF30B8">
        <w:rPr>
          <w:szCs w:val="24"/>
        </w:rPr>
        <w:t>, whether in the alternative, which was not prayed for, or under the prayer for further or alternative relief</w:t>
      </w:r>
      <w:r w:rsidR="00AD08E3" w:rsidRPr="00CF30B8">
        <w:rPr>
          <w:szCs w:val="24"/>
        </w:rPr>
        <w:t>.</w:t>
      </w:r>
    </w:p>
    <w:p w:rsidR="00082A59" w:rsidRPr="00CF30B8" w:rsidRDefault="00082A59" w:rsidP="00082A59">
      <w:pPr>
        <w:pStyle w:val="Sectionnumbering"/>
        <w:numPr>
          <w:ilvl w:val="0"/>
          <w:numId w:val="0"/>
        </w:numPr>
        <w:spacing w:before="0" w:after="0"/>
        <w:rPr>
          <w:szCs w:val="24"/>
        </w:rPr>
      </w:pPr>
    </w:p>
    <w:p w:rsidR="00912D27" w:rsidRPr="00CF30B8" w:rsidRDefault="00B75983" w:rsidP="00B75983">
      <w:pPr>
        <w:pStyle w:val="Sectionnumbering"/>
        <w:numPr>
          <w:ilvl w:val="0"/>
          <w:numId w:val="0"/>
        </w:numPr>
        <w:spacing w:before="0" w:after="0"/>
        <w:rPr>
          <w:szCs w:val="24"/>
        </w:rPr>
      </w:pPr>
      <w:r w:rsidRPr="00CF30B8">
        <w:rPr>
          <w:szCs w:val="24"/>
        </w:rPr>
        <w:t>[25]</w:t>
      </w:r>
      <w:r w:rsidRPr="00CF30B8">
        <w:rPr>
          <w:szCs w:val="24"/>
        </w:rPr>
        <w:tab/>
      </w:r>
      <w:r w:rsidR="00A56CB9" w:rsidRPr="00CF30B8">
        <w:rPr>
          <w:szCs w:val="24"/>
        </w:rPr>
        <w:t>I</w:t>
      </w:r>
      <w:r w:rsidR="00BF3AFE" w:rsidRPr="00CF30B8">
        <w:rPr>
          <w:szCs w:val="24"/>
        </w:rPr>
        <w:t xml:space="preserve">n conclusion, and since the court a quo made reference to </w:t>
      </w:r>
      <w:r w:rsidR="00BF3AFE" w:rsidRPr="00EF05CC">
        <w:rPr>
          <w:szCs w:val="24"/>
          <w:highlight w:val="yellow"/>
        </w:rPr>
        <w:t>certain by-laws</w:t>
      </w:r>
      <w:r w:rsidR="00BF3AFE" w:rsidRPr="00CF30B8">
        <w:rPr>
          <w:szCs w:val="24"/>
        </w:rPr>
        <w:t xml:space="preserve"> when it considered the question whether the appellant was entitled to refuse the supply of municipal services, I</w:t>
      </w:r>
      <w:r w:rsidR="00A56CB9" w:rsidRPr="00CF30B8">
        <w:rPr>
          <w:szCs w:val="24"/>
        </w:rPr>
        <w:t xml:space="preserve"> wi</w:t>
      </w:r>
      <w:r w:rsidR="00BF3AFE" w:rsidRPr="00CF30B8">
        <w:rPr>
          <w:szCs w:val="24"/>
        </w:rPr>
        <w:t xml:space="preserve">sh to make </w:t>
      </w:r>
      <w:r w:rsidR="009242ED" w:rsidRPr="00CF30B8">
        <w:rPr>
          <w:szCs w:val="24"/>
        </w:rPr>
        <w:t>the following observations.</w:t>
      </w:r>
      <w:r w:rsidR="000E6BFE" w:rsidRPr="00CF30B8">
        <w:rPr>
          <w:szCs w:val="24"/>
        </w:rPr>
        <w:t xml:space="preserve"> </w:t>
      </w:r>
      <w:r w:rsidR="00A56CB9" w:rsidRPr="00CF30B8">
        <w:rPr>
          <w:szCs w:val="24"/>
        </w:rPr>
        <w:t>By-law</w:t>
      </w:r>
      <w:r w:rsidR="007852EB" w:rsidRPr="00CF30B8">
        <w:rPr>
          <w:szCs w:val="24"/>
        </w:rPr>
        <w:t> </w:t>
      </w:r>
      <w:r w:rsidR="00912D27" w:rsidRPr="00CF30B8">
        <w:rPr>
          <w:szCs w:val="24"/>
        </w:rPr>
        <w:t>18(1)</w:t>
      </w:r>
      <w:r w:rsidR="00272DA1" w:rsidRPr="00CF30B8">
        <w:rPr>
          <w:rStyle w:val="FootnoteReference"/>
          <w:szCs w:val="24"/>
        </w:rPr>
        <w:footnoteReference w:id="26"/>
      </w:r>
      <w:r w:rsidR="00272DA1" w:rsidRPr="00CF30B8">
        <w:rPr>
          <w:szCs w:val="24"/>
        </w:rPr>
        <w:t xml:space="preserve"> </w:t>
      </w:r>
      <w:r w:rsidR="00912D27" w:rsidRPr="00CF30B8">
        <w:rPr>
          <w:szCs w:val="24"/>
        </w:rPr>
        <w:t>of the appellant’s standard electricity by-law</w:t>
      </w:r>
      <w:r w:rsidR="00EE213A" w:rsidRPr="00CF30B8">
        <w:rPr>
          <w:szCs w:val="24"/>
        </w:rPr>
        <w:t>s</w:t>
      </w:r>
      <w:r w:rsidR="00912D27" w:rsidRPr="00CF30B8">
        <w:rPr>
          <w:szCs w:val="24"/>
        </w:rPr>
        <w:t xml:space="preserve"> </w:t>
      </w:r>
      <w:r w:rsidR="009242ED" w:rsidRPr="00CF30B8">
        <w:rPr>
          <w:szCs w:val="24"/>
        </w:rPr>
        <w:t>provide</w:t>
      </w:r>
      <w:r w:rsidR="00912D27" w:rsidRPr="00CF30B8">
        <w:rPr>
          <w:szCs w:val="24"/>
        </w:rPr>
        <w:t>s</w:t>
      </w:r>
      <w:r w:rsidR="009242ED" w:rsidRPr="00CF30B8">
        <w:rPr>
          <w:szCs w:val="24"/>
        </w:rPr>
        <w:t xml:space="preserve"> that</w:t>
      </w:r>
      <w:r w:rsidR="00912D27" w:rsidRPr="00CF30B8">
        <w:rPr>
          <w:szCs w:val="24"/>
        </w:rPr>
        <w:t xml:space="preserve"> the </w:t>
      </w:r>
      <w:r w:rsidR="00912D27" w:rsidRPr="00EF05CC">
        <w:rPr>
          <w:szCs w:val="24"/>
          <w:highlight w:val="yellow"/>
        </w:rPr>
        <w:t>consumer</w:t>
      </w:r>
      <w:r w:rsidR="009242ED" w:rsidRPr="00EF05CC">
        <w:rPr>
          <w:szCs w:val="24"/>
          <w:highlight w:val="yellow"/>
        </w:rPr>
        <w:t xml:space="preserve"> is</w:t>
      </w:r>
      <w:r w:rsidR="00912D27" w:rsidRPr="00EF05CC">
        <w:rPr>
          <w:szCs w:val="24"/>
          <w:highlight w:val="yellow"/>
        </w:rPr>
        <w:t xml:space="preserve"> liable for all electricity</w:t>
      </w:r>
      <w:r w:rsidR="00912D27" w:rsidRPr="00CF30B8">
        <w:rPr>
          <w:szCs w:val="24"/>
        </w:rPr>
        <w:t xml:space="preserve"> supplied to his</w:t>
      </w:r>
      <w:r w:rsidR="00116847" w:rsidRPr="00CF30B8">
        <w:rPr>
          <w:szCs w:val="24"/>
        </w:rPr>
        <w:t xml:space="preserve"> or </w:t>
      </w:r>
      <w:r w:rsidR="00912D27" w:rsidRPr="00CF30B8">
        <w:rPr>
          <w:szCs w:val="24"/>
        </w:rPr>
        <w:t xml:space="preserve">her premises. </w:t>
      </w:r>
      <w:r w:rsidR="00822DF8" w:rsidRPr="00CF30B8">
        <w:rPr>
          <w:szCs w:val="24"/>
        </w:rPr>
        <w:t>A ‘</w:t>
      </w:r>
      <w:r w:rsidR="00272DA1" w:rsidRPr="00CF30B8">
        <w:rPr>
          <w:szCs w:val="24"/>
        </w:rPr>
        <w:t>consumer</w:t>
      </w:r>
      <w:r w:rsidR="00822DF8" w:rsidRPr="00CF30B8">
        <w:rPr>
          <w:szCs w:val="24"/>
        </w:rPr>
        <w:t>’</w:t>
      </w:r>
      <w:r w:rsidR="00272DA1" w:rsidRPr="00CF30B8">
        <w:rPr>
          <w:szCs w:val="24"/>
        </w:rPr>
        <w:t xml:space="preserve"> is defined </w:t>
      </w:r>
      <w:r w:rsidR="00822DF8" w:rsidRPr="00CF30B8">
        <w:rPr>
          <w:szCs w:val="24"/>
        </w:rPr>
        <w:t xml:space="preserve">in the by-laws </w:t>
      </w:r>
      <w:r w:rsidR="00272DA1" w:rsidRPr="00CF30B8">
        <w:rPr>
          <w:szCs w:val="24"/>
        </w:rPr>
        <w:t>as</w:t>
      </w:r>
      <w:r w:rsidR="001D49A2" w:rsidRPr="00CF30B8">
        <w:rPr>
          <w:szCs w:val="24"/>
        </w:rPr>
        <w:t>:</w:t>
      </w:r>
      <w:r w:rsidR="00272DA1" w:rsidRPr="00CF30B8">
        <w:rPr>
          <w:szCs w:val="24"/>
        </w:rPr>
        <w:t xml:space="preserve"> </w:t>
      </w:r>
    </w:p>
    <w:p w:rsidR="007211CC" w:rsidRPr="00CF30B8" w:rsidRDefault="007211CC" w:rsidP="00082A59">
      <w:pPr>
        <w:pStyle w:val="Quote"/>
        <w:spacing w:before="0" w:after="0"/>
        <w:rPr>
          <w:sz w:val="24"/>
          <w:szCs w:val="24"/>
        </w:rPr>
      </w:pPr>
    </w:p>
    <w:p w:rsidR="00912D27" w:rsidRPr="00CF30B8" w:rsidRDefault="00912D27" w:rsidP="007211CC">
      <w:pPr>
        <w:pStyle w:val="Quote"/>
        <w:spacing w:before="0" w:after="0" w:line="240" w:lineRule="auto"/>
        <w:ind w:left="720"/>
        <w:rPr>
          <w:sz w:val="24"/>
          <w:szCs w:val="24"/>
        </w:rPr>
      </w:pPr>
      <w:r w:rsidRPr="00CF30B8">
        <w:rPr>
          <w:sz w:val="24"/>
          <w:szCs w:val="24"/>
        </w:rPr>
        <w:t>‘</w:t>
      </w:r>
      <w:r w:rsidR="0065748E" w:rsidRPr="00CF30B8">
        <w:rPr>
          <w:sz w:val="24"/>
          <w:szCs w:val="24"/>
        </w:rPr>
        <w:t xml:space="preserve">The </w:t>
      </w:r>
      <w:r w:rsidRPr="00CF30B8">
        <w:rPr>
          <w:sz w:val="24"/>
          <w:szCs w:val="24"/>
        </w:rPr>
        <w:t>occupier of any premises to which the Municipality has agreed to supply or is actually supplying electricity, or if there is no occupier, the person who has entered into a current valid agreement with the Municipality for the supply of electricity to the premises, or, if such a person does not exist or cannot be traced or has absconded or for whatever reason is not able to pay, the owner of the premises.’</w:t>
      </w:r>
    </w:p>
    <w:p w:rsidR="00082A59" w:rsidRPr="00CF30B8" w:rsidRDefault="00082A59" w:rsidP="00082A59">
      <w:pPr>
        <w:pStyle w:val="Quote"/>
        <w:spacing w:before="0" w:after="0"/>
        <w:rPr>
          <w:sz w:val="24"/>
          <w:szCs w:val="24"/>
        </w:rPr>
      </w:pPr>
    </w:p>
    <w:p w:rsidR="00445C8F" w:rsidRPr="00CF30B8" w:rsidRDefault="00B75983" w:rsidP="00B75983">
      <w:pPr>
        <w:pStyle w:val="Sectionnumbering"/>
        <w:numPr>
          <w:ilvl w:val="0"/>
          <w:numId w:val="0"/>
        </w:numPr>
        <w:spacing w:before="0" w:after="0"/>
        <w:rPr>
          <w:b/>
          <w:color w:val="244061"/>
          <w:szCs w:val="24"/>
        </w:rPr>
      </w:pPr>
      <w:r w:rsidRPr="00CF30B8">
        <w:rPr>
          <w:szCs w:val="24"/>
        </w:rPr>
        <w:t>[26]</w:t>
      </w:r>
      <w:r w:rsidRPr="00CF30B8">
        <w:rPr>
          <w:szCs w:val="24"/>
        </w:rPr>
        <w:tab/>
      </w:r>
      <w:r w:rsidR="00912D27" w:rsidRPr="00EF05CC">
        <w:rPr>
          <w:szCs w:val="24"/>
          <w:highlight w:val="yellow"/>
        </w:rPr>
        <w:t>Counsel for the appellant co</w:t>
      </w:r>
      <w:r w:rsidR="00A56CB9" w:rsidRPr="00EF05CC">
        <w:rPr>
          <w:szCs w:val="24"/>
          <w:highlight w:val="yellow"/>
        </w:rPr>
        <w:t>nceded that before a municipality</w:t>
      </w:r>
      <w:r w:rsidR="00912D27" w:rsidRPr="00EF05CC">
        <w:rPr>
          <w:szCs w:val="24"/>
          <w:highlight w:val="yellow"/>
        </w:rPr>
        <w:t xml:space="preserve"> can look to an owner for payment</w:t>
      </w:r>
      <w:r w:rsidR="0065748E" w:rsidRPr="00EF05CC">
        <w:rPr>
          <w:szCs w:val="24"/>
          <w:highlight w:val="yellow"/>
        </w:rPr>
        <w:t>,</w:t>
      </w:r>
      <w:r w:rsidR="00912D27" w:rsidRPr="00EF05CC">
        <w:rPr>
          <w:szCs w:val="24"/>
          <w:highlight w:val="yellow"/>
        </w:rPr>
        <w:t xml:space="preserve"> it has to compl</w:t>
      </w:r>
      <w:r w:rsidR="00201B56" w:rsidRPr="00EF05CC">
        <w:rPr>
          <w:szCs w:val="24"/>
          <w:highlight w:val="yellow"/>
        </w:rPr>
        <w:t>y</w:t>
      </w:r>
      <w:r w:rsidR="00912D27" w:rsidRPr="00EF05CC">
        <w:rPr>
          <w:szCs w:val="24"/>
          <w:highlight w:val="yellow"/>
        </w:rPr>
        <w:t xml:space="preserve"> with its own by-law</w:t>
      </w:r>
      <w:r w:rsidR="001D49A2" w:rsidRPr="00CF30B8">
        <w:rPr>
          <w:szCs w:val="24"/>
        </w:rPr>
        <w:t>:</w:t>
      </w:r>
      <w:r w:rsidR="00912D27" w:rsidRPr="00CF30B8">
        <w:rPr>
          <w:szCs w:val="24"/>
        </w:rPr>
        <w:t xml:space="preserve"> i</w:t>
      </w:r>
      <w:r w:rsidR="00A56CB9" w:rsidRPr="00CF30B8">
        <w:rPr>
          <w:szCs w:val="24"/>
        </w:rPr>
        <w:t>t has to</w:t>
      </w:r>
      <w:r w:rsidR="00912D27" w:rsidRPr="00CF30B8">
        <w:rPr>
          <w:szCs w:val="24"/>
        </w:rPr>
        <w:t xml:space="preserve"> show that </w:t>
      </w:r>
      <w:r w:rsidR="00BA70D8" w:rsidRPr="00CF30B8">
        <w:rPr>
          <w:szCs w:val="24"/>
        </w:rPr>
        <w:t xml:space="preserve">(1) </w:t>
      </w:r>
      <w:r w:rsidR="00912D27" w:rsidRPr="00CF30B8">
        <w:rPr>
          <w:szCs w:val="24"/>
        </w:rPr>
        <w:t xml:space="preserve">there </w:t>
      </w:r>
      <w:r w:rsidR="00912D27" w:rsidRPr="00CF30B8">
        <w:rPr>
          <w:szCs w:val="24"/>
        </w:rPr>
        <w:lastRenderedPageBreak/>
        <w:t>is no occupier</w:t>
      </w:r>
      <w:r w:rsidR="00BA70D8" w:rsidRPr="00CF30B8">
        <w:rPr>
          <w:szCs w:val="24"/>
        </w:rPr>
        <w:t xml:space="preserve"> on the property concerned</w:t>
      </w:r>
      <w:r w:rsidR="00912D27" w:rsidRPr="00CF30B8">
        <w:rPr>
          <w:szCs w:val="24"/>
        </w:rPr>
        <w:t xml:space="preserve"> and </w:t>
      </w:r>
      <w:r w:rsidR="00BA70D8" w:rsidRPr="00CF30B8">
        <w:rPr>
          <w:szCs w:val="24"/>
        </w:rPr>
        <w:t xml:space="preserve">(2) </w:t>
      </w:r>
      <w:r w:rsidR="00912D27" w:rsidRPr="00CF30B8">
        <w:rPr>
          <w:szCs w:val="24"/>
        </w:rPr>
        <w:t>the person who ha</w:t>
      </w:r>
      <w:r w:rsidR="00BA70D8" w:rsidRPr="00CF30B8">
        <w:rPr>
          <w:szCs w:val="24"/>
        </w:rPr>
        <w:t>d</w:t>
      </w:r>
      <w:r w:rsidR="00912D27" w:rsidRPr="00CF30B8">
        <w:rPr>
          <w:szCs w:val="24"/>
        </w:rPr>
        <w:t xml:space="preserve"> entered into the contract to </w:t>
      </w:r>
      <w:r w:rsidR="00527F3D" w:rsidRPr="00CF30B8">
        <w:rPr>
          <w:szCs w:val="24"/>
        </w:rPr>
        <w:t>receive</w:t>
      </w:r>
      <w:r w:rsidR="00BA70D8" w:rsidRPr="00CF30B8">
        <w:rPr>
          <w:szCs w:val="24"/>
        </w:rPr>
        <w:t xml:space="preserve"> the services cannot be traced or has absconded</w:t>
      </w:r>
      <w:r w:rsidR="001D49A2" w:rsidRPr="00CF30B8">
        <w:rPr>
          <w:szCs w:val="24"/>
        </w:rPr>
        <w:t>,</w:t>
      </w:r>
      <w:r w:rsidR="00912D27" w:rsidRPr="00CF30B8">
        <w:rPr>
          <w:szCs w:val="24"/>
        </w:rPr>
        <w:t xml:space="preserve"> is unable to pay</w:t>
      </w:r>
      <w:r w:rsidR="001D49A2" w:rsidRPr="00CF30B8">
        <w:rPr>
          <w:szCs w:val="24"/>
        </w:rPr>
        <w:t>,</w:t>
      </w:r>
      <w:r w:rsidR="00912D27" w:rsidRPr="00CF30B8">
        <w:rPr>
          <w:szCs w:val="24"/>
        </w:rPr>
        <w:t xml:space="preserve"> or does not exist.</w:t>
      </w:r>
      <w:r w:rsidR="00B764D7" w:rsidRPr="00CF30B8">
        <w:rPr>
          <w:szCs w:val="24"/>
        </w:rPr>
        <w:t xml:space="preserve"> </w:t>
      </w:r>
      <w:r w:rsidR="00197CF1" w:rsidRPr="00CF30B8">
        <w:rPr>
          <w:szCs w:val="24"/>
        </w:rPr>
        <w:t>Assuming that historical debts include amounts due in respect of electricity consumption – a municipality may ‘consolidate any separate accounts of persons liable for payments to the municipality’</w:t>
      </w:r>
      <w:r w:rsidR="00197CF1" w:rsidRPr="00CF30B8">
        <w:rPr>
          <w:rStyle w:val="FootnoteReference"/>
          <w:szCs w:val="24"/>
        </w:rPr>
        <w:footnoteReference w:id="27"/>
      </w:r>
      <w:r w:rsidR="00584A75" w:rsidRPr="00CF30B8">
        <w:rPr>
          <w:szCs w:val="24"/>
        </w:rPr>
        <w:t xml:space="preserve"> -</w:t>
      </w:r>
      <w:r w:rsidR="00197CF1" w:rsidRPr="00CF30B8">
        <w:rPr>
          <w:szCs w:val="24"/>
        </w:rPr>
        <w:t xml:space="preserve"> </w:t>
      </w:r>
      <w:r w:rsidR="00B764D7" w:rsidRPr="00FA0049">
        <w:rPr>
          <w:szCs w:val="24"/>
          <w:highlight w:val="yellow"/>
        </w:rPr>
        <w:t>I agree</w:t>
      </w:r>
      <w:r w:rsidR="00B764D7" w:rsidRPr="00CF30B8">
        <w:rPr>
          <w:szCs w:val="24"/>
        </w:rPr>
        <w:t>.</w:t>
      </w:r>
    </w:p>
    <w:p w:rsidR="00082A59" w:rsidRPr="00CF30B8" w:rsidRDefault="00082A59" w:rsidP="00082A59">
      <w:pPr>
        <w:pStyle w:val="Sectionnumbering"/>
        <w:numPr>
          <w:ilvl w:val="0"/>
          <w:numId w:val="0"/>
        </w:numPr>
        <w:spacing w:before="0" w:after="0"/>
        <w:rPr>
          <w:b/>
          <w:color w:val="244061"/>
          <w:szCs w:val="24"/>
        </w:rPr>
      </w:pPr>
    </w:p>
    <w:p w:rsidR="00B302A4" w:rsidRPr="00CF30B8" w:rsidRDefault="00B75983" w:rsidP="00B75983">
      <w:pPr>
        <w:pStyle w:val="Sectionnumbering"/>
        <w:numPr>
          <w:ilvl w:val="0"/>
          <w:numId w:val="0"/>
        </w:numPr>
        <w:spacing w:before="0" w:after="0"/>
        <w:rPr>
          <w:szCs w:val="24"/>
        </w:rPr>
      </w:pPr>
      <w:r w:rsidRPr="00CF30B8">
        <w:rPr>
          <w:szCs w:val="24"/>
        </w:rPr>
        <w:t>[27]</w:t>
      </w:r>
      <w:r w:rsidRPr="00CF30B8">
        <w:rPr>
          <w:szCs w:val="24"/>
        </w:rPr>
        <w:tab/>
      </w:r>
      <w:r w:rsidR="008243AE" w:rsidRPr="00CF30B8">
        <w:rPr>
          <w:szCs w:val="24"/>
        </w:rPr>
        <w:t>To sum up,</w:t>
      </w:r>
      <w:r w:rsidR="008000DD" w:rsidRPr="00CF30B8">
        <w:rPr>
          <w:szCs w:val="24"/>
        </w:rPr>
        <w:t xml:space="preserve"> the cou</w:t>
      </w:r>
      <w:r w:rsidR="00A8354F" w:rsidRPr="00CF30B8">
        <w:rPr>
          <w:szCs w:val="24"/>
        </w:rPr>
        <w:t>rt below should not have made</w:t>
      </w:r>
      <w:r w:rsidR="008000DD" w:rsidRPr="00CF30B8">
        <w:rPr>
          <w:szCs w:val="24"/>
        </w:rPr>
        <w:t xml:space="preserve"> the orders it </w:t>
      </w:r>
      <w:r w:rsidR="001D49A2" w:rsidRPr="00CF30B8">
        <w:rPr>
          <w:szCs w:val="24"/>
        </w:rPr>
        <w:t xml:space="preserve">granted </w:t>
      </w:r>
      <w:r w:rsidR="008000DD" w:rsidRPr="00CF30B8">
        <w:rPr>
          <w:szCs w:val="24"/>
        </w:rPr>
        <w:t xml:space="preserve">and the respondent’s application should have been dismissed for the reasons set out above. It follows that the appeal must succeed. As to costs, the court below </w:t>
      </w:r>
      <w:r w:rsidR="000F5B83" w:rsidRPr="00CF30B8">
        <w:rPr>
          <w:szCs w:val="24"/>
        </w:rPr>
        <w:t xml:space="preserve">ordered that ‘[t]here shall be no order with regard to costs’. </w:t>
      </w:r>
      <w:proofErr w:type="gramStart"/>
      <w:r w:rsidR="000F5B83" w:rsidRPr="00CF30B8">
        <w:rPr>
          <w:szCs w:val="24"/>
        </w:rPr>
        <w:t xml:space="preserve">Counsel </w:t>
      </w:r>
      <w:r w:rsidR="00A8354F" w:rsidRPr="00CF30B8">
        <w:rPr>
          <w:szCs w:val="24"/>
        </w:rPr>
        <w:t>were</w:t>
      </w:r>
      <w:proofErr w:type="gramEnd"/>
      <w:r w:rsidR="00A8354F" w:rsidRPr="00CF30B8">
        <w:rPr>
          <w:szCs w:val="24"/>
        </w:rPr>
        <w:t xml:space="preserve"> in </w:t>
      </w:r>
      <w:r w:rsidR="000F5B83" w:rsidRPr="00CF30B8">
        <w:rPr>
          <w:szCs w:val="24"/>
        </w:rPr>
        <w:t>agree</w:t>
      </w:r>
      <w:r w:rsidR="00A8354F" w:rsidRPr="00CF30B8">
        <w:rPr>
          <w:szCs w:val="24"/>
        </w:rPr>
        <w:t>ment</w:t>
      </w:r>
      <w:r w:rsidR="000F5B83" w:rsidRPr="00CF30B8">
        <w:rPr>
          <w:szCs w:val="24"/>
        </w:rPr>
        <w:t xml:space="preserve"> that</w:t>
      </w:r>
      <w:r w:rsidR="00A8354F" w:rsidRPr="00CF30B8">
        <w:rPr>
          <w:szCs w:val="24"/>
        </w:rPr>
        <w:t xml:space="preserve"> that</w:t>
      </w:r>
      <w:r w:rsidR="000F5B83" w:rsidRPr="00CF30B8">
        <w:rPr>
          <w:szCs w:val="24"/>
        </w:rPr>
        <w:t xml:space="preserve"> order should not be altered, irrespective of the result of the appeal. In my view, </w:t>
      </w:r>
      <w:r w:rsidR="0027344B" w:rsidRPr="00CF30B8">
        <w:rPr>
          <w:szCs w:val="24"/>
        </w:rPr>
        <w:t>the same should apply in this court.</w:t>
      </w:r>
      <w:r w:rsidR="000E2BE3" w:rsidRPr="00CF30B8">
        <w:rPr>
          <w:szCs w:val="24"/>
        </w:rPr>
        <w:t xml:space="preserve"> The case involves vindication of constitutional rights relating to property</w:t>
      </w:r>
      <w:r w:rsidR="00E333A5" w:rsidRPr="00CF30B8">
        <w:rPr>
          <w:szCs w:val="24"/>
        </w:rPr>
        <w:t>.</w:t>
      </w:r>
      <w:r w:rsidR="00E333A5" w:rsidRPr="00CF30B8">
        <w:rPr>
          <w:rStyle w:val="FootnoteReference"/>
          <w:szCs w:val="24"/>
        </w:rPr>
        <w:footnoteReference w:id="28"/>
      </w:r>
    </w:p>
    <w:p w:rsidR="00082A59" w:rsidRPr="00CF30B8" w:rsidRDefault="00082A59" w:rsidP="00082A59">
      <w:pPr>
        <w:pStyle w:val="Sectionnumbering"/>
        <w:numPr>
          <w:ilvl w:val="0"/>
          <w:numId w:val="0"/>
        </w:numPr>
        <w:spacing w:before="0" w:after="0"/>
        <w:rPr>
          <w:szCs w:val="24"/>
        </w:rPr>
      </w:pPr>
    </w:p>
    <w:p w:rsidR="00B42256" w:rsidRPr="00CF30B8" w:rsidRDefault="00B75983" w:rsidP="00B75983">
      <w:pPr>
        <w:pStyle w:val="Sectionnumbering"/>
        <w:numPr>
          <w:ilvl w:val="0"/>
          <w:numId w:val="0"/>
        </w:numPr>
        <w:spacing w:before="0" w:after="0"/>
        <w:rPr>
          <w:szCs w:val="24"/>
        </w:rPr>
      </w:pPr>
      <w:r w:rsidRPr="00CF30B8">
        <w:rPr>
          <w:szCs w:val="24"/>
        </w:rPr>
        <w:t>[28]</w:t>
      </w:r>
      <w:r w:rsidRPr="00CF30B8">
        <w:rPr>
          <w:szCs w:val="24"/>
        </w:rPr>
        <w:tab/>
      </w:r>
      <w:r w:rsidR="00B42256" w:rsidRPr="00CF30B8">
        <w:rPr>
          <w:szCs w:val="24"/>
        </w:rPr>
        <w:t>In the result, I make the following order:</w:t>
      </w:r>
    </w:p>
    <w:p w:rsidR="00B42256" w:rsidRPr="00CF30B8" w:rsidRDefault="00B42256" w:rsidP="00696B12">
      <w:pPr>
        <w:pStyle w:val="Sectionnumbering2"/>
        <w:numPr>
          <w:ilvl w:val="0"/>
          <w:numId w:val="0"/>
        </w:numPr>
        <w:spacing w:before="0" w:after="0"/>
        <w:rPr>
          <w:szCs w:val="24"/>
        </w:rPr>
      </w:pPr>
      <w:r w:rsidRPr="00CF30B8">
        <w:rPr>
          <w:szCs w:val="24"/>
        </w:rPr>
        <w:t>1 The appeal is upheld.</w:t>
      </w:r>
    </w:p>
    <w:p w:rsidR="00B42256" w:rsidRPr="00CF30B8" w:rsidRDefault="00B42256" w:rsidP="00696B12">
      <w:pPr>
        <w:pStyle w:val="Sectionnumbering2"/>
        <w:numPr>
          <w:ilvl w:val="0"/>
          <w:numId w:val="0"/>
        </w:numPr>
        <w:spacing w:before="0" w:after="0"/>
        <w:rPr>
          <w:szCs w:val="24"/>
        </w:rPr>
      </w:pPr>
      <w:r w:rsidRPr="00CF30B8">
        <w:rPr>
          <w:szCs w:val="24"/>
        </w:rPr>
        <w:t>2 Paragraph 1 of the order of the</w:t>
      </w:r>
      <w:r w:rsidR="00A8354F" w:rsidRPr="00CF30B8">
        <w:rPr>
          <w:szCs w:val="24"/>
        </w:rPr>
        <w:t xml:space="preserve"> court a quo</w:t>
      </w:r>
      <w:r w:rsidR="00A1414F" w:rsidRPr="00CF30B8">
        <w:rPr>
          <w:szCs w:val="24"/>
        </w:rPr>
        <w:t xml:space="preserve"> is set aside and</w:t>
      </w:r>
      <w:r w:rsidRPr="00CF30B8">
        <w:rPr>
          <w:szCs w:val="24"/>
        </w:rPr>
        <w:t xml:space="preserve"> replaced with the following: </w:t>
      </w:r>
    </w:p>
    <w:p w:rsidR="00B42256" w:rsidRPr="00CF30B8" w:rsidRDefault="00A8354F" w:rsidP="00696B12">
      <w:pPr>
        <w:pStyle w:val="Sectionnumbering"/>
        <w:numPr>
          <w:ilvl w:val="0"/>
          <w:numId w:val="0"/>
        </w:numPr>
        <w:spacing w:before="0" w:after="0"/>
        <w:rPr>
          <w:szCs w:val="24"/>
        </w:rPr>
      </w:pPr>
      <w:r w:rsidRPr="00CF30B8">
        <w:rPr>
          <w:szCs w:val="24"/>
        </w:rPr>
        <w:t>‘1</w:t>
      </w:r>
      <w:r w:rsidR="00B42256" w:rsidRPr="00CF30B8">
        <w:rPr>
          <w:szCs w:val="24"/>
        </w:rPr>
        <w:t xml:space="preserve"> The application is dismissed.’</w:t>
      </w:r>
    </w:p>
    <w:p w:rsidR="00B42256" w:rsidRPr="00CF30B8" w:rsidRDefault="00B42256" w:rsidP="00696B12">
      <w:pPr>
        <w:pStyle w:val="Sectionnumbering"/>
        <w:numPr>
          <w:ilvl w:val="0"/>
          <w:numId w:val="0"/>
        </w:numPr>
        <w:spacing w:before="0" w:after="0"/>
        <w:rPr>
          <w:szCs w:val="24"/>
        </w:rPr>
      </w:pPr>
      <w:r w:rsidRPr="00CF30B8">
        <w:rPr>
          <w:szCs w:val="24"/>
        </w:rPr>
        <w:t xml:space="preserve"> 3 No order is made as to the costs of the appeal. </w:t>
      </w:r>
    </w:p>
    <w:p w:rsidR="000A1996" w:rsidRPr="00CF30B8" w:rsidRDefault="000A1996" w:rsidP="001779EE">
      <w:pPr>
        <w:pStyle w:val="Sectionnumbering3"/>
        <w:numPr>
          <w:ilvl w:val="0"/>
          <w:numId w:val="0"/>
        </w:numPr>
        <w:spacing w:before="0" w:after="0"/>
        <w:rPr>
          <w:szCs w:val="24"/>
        </w:rPr>
      </w:pPr>
    </w:p>
    <w:p w:rsidR="008D457D" w:rsidRPr="00CF30B8" w:rsidRDefault="008D457D" w:rsidP="001779EE">
      <w:pPr>
        <w:pStyle w:val="Sectionnumbering"/>
        <w:numPr>
          <w:ilvl w:val="0"/>
          <w:numId w:val="0"/>
        </w:numPr>
        <w:spacing w:before="0" w:after="0" w:line="240" w:lineRule="auto"/>
        <w:rPr>
          <w:szCs w:val="24"/>
        </w:rPr>
      </w:pPr>
    </w:p>
    <w:p w:rsidR="000A1996" w:rsidRPr="00CF30B8" w:rsidRDefault="000A1996" w:rsidP="005D3CAE">
      <w:pPr>
        <w:pStyle w:val="Sectionnumbering"/>
        <w:numPr>
          <w:ilvl w:val="0"/>
          <w:numId w:val="0"/>
        </w:numPr>
        <w:tabs>
          <w:tab w:val="left" w:pos="6075"/>
          <w:tab w:val="left" w:pos="7200"/>
        </w:tabs>
        <w:spacing w:before="0" w:after="0" w:line="240" w:lineRule="auto"/>
        <w:jc w:val="right"/>
        <w:rPr>
          <w:szCs w:val="24"/>
        </w:rPr>
      </w:pPr>
      <w:r w:rsidRPr="00CF30B8">
        <w:rPr>
          <w:szCs w:val="24"/>
        </w:rPr>
        <w:tab/>
      </w:r>
      <w:r w:rsidRPr="00CF30B8">
        <w:rPr>
          <w:szCs w:val="24"/>
        </w:rPr>
        <w:tab/>
      </w:r>
    </w:p>
    <w:p w:rsidR="005D3CAE" w:rsidRPr="00CF30B8" w:rsidRDefault="005D3CAE" w:rsidP="005D3CAE">
      <w:pPr>
        <w:pStyle w:val="Sectionnumbering"/>
        <w:numPr>
          <w:ilvl w:val="0"/>
          <w:numId w:val="0"/>
        </w:numPr>
        <w:spacing w:before="0" w:after="0"/>
        <w:jc w:val="right"/>
        <w:rPr>
          <w:szCs w:val="24"/>
        </w:rPr>
      </w:pPr>
    </w:p>
    <w:p w:rsidR="000A1996" w:rsidRPr="00CF30B8" w:rsidRDefault="000A1996" w:rsidP="007211CC">
      <w:pPr>
        <w:pStyle w:val="Sectionnumbering"/>
        <w:numPr>
          <w:ilvl w:val="0"/>
          <w:numId w:val="0"/>
        </w:numPr>
        <w:spacing w:before="0" w:after="0"/>
        <w:jc w:val="left"/>
        <w:rPr>
          <w:szCs w:val="24"/>
        </w:rPr>
      </w:pPr>
      <w:r w:rsidRPr="00CF30B8">
        <w:rPr>
          <w:szCs w:val="24"/>
        </w:rPr>
        <w:t xml:space="preserve">E D </w:t>
      </w:r>
      <w:proofErr w:type="spellStart"/>
      <w:r w:rsidRPr="00CF30B8">
        <w:rPr>
          <w:szCs w:val="24"/>
        </w:rPr>
        <w:t>Baartman</w:t>
      </w:r>
      <w:proofErr w:type="spellEnd"/>
    </w:p>
    <w:p w:rsidR="000A1996" w:rsidRPr="00CF30B8" w:rsidRDefault="000A1996" w:rsidP="007211CC">
      <w:pPr>
        <w:widowControl w:val="0"/>
        <w:autoSpaceDE w:val="0"/>
        <w:autoSpaceDN w:val="0"/>
        <w:adjustRightInd w:val="0"/>
        <w:spacing w:before="0" w:after="0"/>
        <w:rPr>
          <w:szCs w:val="24"/>
        </w:rPr>
      </w:pPr>
      <w:r w:rsidRPr="00CF30B8">
        <w:rPr>
          <w:szCs w:val="24"/>
        </w:rPr>
        <w:t>Acting Judge of Appeal</w:t>
      </w:r>
    </w:p>
    <w:p w:rsidR="0097356F" w:rsidRDefault="0097356F" w:rsidP="0097356F">
      <w:pPr>
        <w:jc w:val="both"/>
        <w:rPr>
          <w:rFonts w:cs="Arial"/>
          <w:b/>
          <w:szCs w:val="24"/>
        </w:rPr>
      </w:pPr>
    </w:p>
    <w:p w:rsidR="00AE4758" w:rsidRDefault="00AE4758" w:rsidP="0097356F">
      <w:pPr>
        <w:jc w:val="both"/>
        <w:rPr>
          <w:rFonts w:cs="Arial"/>
          <w:b/>
          <w:szCs w:val="24"/>
        </w:rPr>
      </w:pPr>
    </w:p>
    <w:p w:rsidR="00AE4758" w:rsidRPr="00CF30B8" w:rsidRDefault="00AE4758" w:rsidP="0097356F">
      <w:pPr>
        <w:jc w:val="both"/>
        <w:rPr>
          <w:rFonts w:cs="Arial"/>
          <w:b/>
          <w:szCs w:val="24"/>
        </w:rPr>
      </w:pPr>
    </w:p>
    <w:p w:rsidR="0097356F" w:rsidRPr="00CF30B8" w:rsidRDefault="0097356F" w:rsidP="0097356F">
      <w:pPr>
        <w:jc w:val="both"/>
        <w:rPr>
          <w:rFonts w:cs="Arial"/>
          <w:b/>
          <w:szCs w:val="24"/>
        </w:rPr>
      </w:pPr>
      <w:r w:rsidRPr="00CF30B8">
        <w:rPr>
          <w:rFonts w:cs="Arial"/>
          <w:b/>
          <w:szCs w:val="24"/>
        </w:rPr>
        <w:lastRenderedPageBreak/>
        <w:t>Zondi JA (</w:t>
      </w:r>
      <w:r w:rsidRPr="00CF30B8">
        <w:rPr>
          <w:rFonts w:cs="Arial"/>
          <w:szCs w:val="24"/>
        </w:rPr>
        <w:t>Dissenting):</w:t>
      </w:r>
    </w:p>
    <w:p w:rsidR="0097356F" w:rsidRPr="00CF30B8" w:rsidRDefault="0097356F" w:rsidP="005D3CAE">
      <w:pPr>
        <w:spacing w:before="0" w:after="0"/>
        <w:jc w:val="both"/>
        <w:rPr>
          <w:rFonts w:cs="Arial"/>
          <w:szCs w:val="24"/>
        </w:rPr>
      </w:pPr>
      <w:r w:rsidRPr="00CF30B8">
        <w:rPr>
          <w:rFonts w:cs="Arial"/>
          <w:szCs w:val="24"/>
        </w:rPr>
        <w:t>[29]</w:t>
      </w:r>
      <w:r w:rsidRPr="00CF30B8">
        <w:rPr>
          <w:rFonts w:cs="Arial"/>
          <w:szCs w:val="24"/>
        </w:rPr>
        <w:tab/>
        <w:t xml:space="preserve">I have had the benefit of reading the judgment prepared by my colleague, </w:t>
      </w:r>
      <w:proofErr w:type="spellStart"/>
      <w:r w:rsidRPr="00CF30B8">
        <w:rPr>
          <w:rFonts w:cs="Arial"/>
          <w:szCs w:val="24"/>
        </w:rPr>
        <w:t>Baartman</w:t>
      </w:r>
      <w:proofErr w:type="spellEnd"/>
      <w:r w:rsidRPr="00CF30B8">
        <w:rPr>
          <w:rFonts w:cs="Arial"/>
          <w:szCs w:val="24"/>
        </w:rPr>
        <w:t xml:space="preserve"> AJA. Unfortunately, I find myself in </w:t>
      </w:r>
      <w:r w:rsidRPr="00F21F92">
        <w:rPr>
          <w:rFonts w:cs="Arial"/>
          <w:szCs w:val="24"/>
          <w:highlight w:val="yellow"/>
        </w:rPr>
        <w:t>respectful disagreement</w:t>
      </w:r>
      <w:r w:rsidRPr="00CF30B8">
        <w:rPr>
          <w:rFonts w:cs="Arial"/>
          <w:szCs w:val="24"/>
        </w:rPr>
        <w:t xml:space="preserve"> with her conclusion that the security created by </w:t>
      </w:r>
      <w:r w:rsidRPr="00CF30B8">
        <w:rPr>
          <w:szCs w:val="24"/>
        </w:rPr>
        <w:t>s 118</w:t>
      </w:r>
      <w:r w:rsidRPr="00CF30B8">
        <w:rPr>
          <w:rFonts w:cs="Arial"/>
          <w:szCs w:val="24"/>
        </w:rPr>
        <w:t>(3) of the Local Government: Municipal Systems Act, 32 of 2000 (the Act) survives a transfer of property from one owner to another even in circumstances where such transfer occurs pursuant to a sale in execution.</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b/>
          <w:szCs w:val="24"/>
        </w:rPr>
      </w:pPr>
      <w:r w:rsidRPr="00CF30B8">
        <w:rPr>
          <w:rFonts w:cs="Arial"/>
          <w:szCs w:val="24"/>
        </w:rPr>
        <w:t>[30]</w:t>
      </w:r>
      <w:r w:rsidRPr="00CF30B8">
        <w:rPr>
          <w:rFonts w:cs="Arial"/>
          <w:szCs w:val="24"/>
        </w:rPr>
        <w:tab/>
        <w:t>The appeal concerns the interpretation of s 118(3) read with s 118(1) of the Act and in particular whether a sale of immovable property in execution of a judgment, and its subsequent transfer pursuant thereto, extinguishes the statutory hypothec the section creates over that property in favour of a municipality for the payment of a municipal debt.</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[31]</w:t>
      </w:r>
      <w:r w:rsidRPr="00CF30B8">
        <w:rPr>
          <w:rFonts w:cs="Arial"/>
          <w:szCs w:val="24"/>
        </w:rPr>
        <w:tab/>
        <w:t xml:space="preserve">The </w:t>
      </w:r>
      <w:r w:rsidRPr="00F21F92">
        <w:rPr>
          <w:rFonts w:cs="Arial"/>
          <w:szCs w:val="24"/>
          <w:highlight w:val="yellow"/>
        </w:rPr>
        <w:t>background facts</w:t>
      </w:r>
      <w:r w:rsidRPr="00CF30B8">
        <w:rPr>
          <w:rFonts w:cs="Arial"/>
          <w:szCs w:val="24"/>
        </w:rPr>
        <w:t xml:space="preserve"> have been set out in detail by </w:t>
      </w:r>
      <w:proofErr w:type="spellStart"/>
      <w:r w:rsidRPr="00CF30B8">
        <w:rPr>
          <w:rFonts w:cs="Arial"/>
          <w:szCs w:val="24"/>
        </w:rPr>
        <w:t>Baartman</w:t>
      </w:r>
      <w:proofErr w:type="spellEnd"/>
      <w:r w:rsidRPr="00CF30B8">
        <w:rPr>
          <w:rFonts w:cs="Arial"/>
          <w:szCs w:val="24"/>
        </w:rPr>
        <w:t xml:space="preserve"> AJA, but it is convenient to </w:t>
      </w:r>
      <w:r w:rsidRPr="00F21F92">
        <w:rPr>
          <w:rFonts w:cs="Arial"/>
          <w:szCs w:val="24"/>
          <w:highlight w:val="yellow"/>
        </w:rPr>
        <w:t>recount those which I regard as particularly pertinent</w:t>
      </w:r>
      <w:r w:rsidRPr="00CF30B8">
        <w:rPr>
          <w:rFonts w:cs="Arial"/>
          <w:szCs w:val="24"/>
        </w:rPr>
        <w:t xml:space="preserve"> to the view which I take. The respondent, Mr Mitchell, bought immovable property (the property) situated within the appellant’s boundaries, at a sale in execution on 22 February 2013. In terms of the conditions of sale, Mr Mitchell was responsible for payment of all costs and charges necessary to effect transfer including conveyancing costs, rates, taxes and other like charges necessary to procure a rates clearance certificate, transfer duty or VAT attracted by the sale and any Deeds Office registration levies. In order to facilitate transfer of the property into his name, he applied for, and </w:t>
      </w:r>
      <w:r w:rsidRPr="00F21F92">
        <w:rPr>
          <w:rFonts w:cs="Arial"/>
          <w:szCs w:val="24"/>
          <w:highlight w:val="yellow"/>
        </w:rPr>
        <w:t>obtained from the appellant, a clearance certificate.</w:t>
      </w:r>
      <w:r w:rsidRPr="00CF30B8">
        <w:rPr>
          <w:rFonts w:cs="Arial"/>
          <w:szCs w:val="24"/>
        </w:rPr>
        <w:t xml:space="preserve"> The clearance certificate indicated that an amount of R232 828.25 was owed to the appellant for municipal services which included electricity, sanitation, waste removal and water. He paid an amount of R126 608.50, which represented municipal debts not older than two years preceding the date of application for the clearance certificate. Upon payment of the said sum the clearance certificate was issued to him. This left an amount of </w:t>
      </w:r>
      <w:r w:rsidRPr="00F21F92">
        <w:rPr>
          <w:rFonts w:cs="Arial"/>
          <w:szCs w:val="24"/>
          <w:highlight w:val="yellow"/>
        </w:rPr>
        <w:t>R106 219.75 outstanding in respect of municipal debts older than two years</w:t>
      </w:r>
      <w:r w:rsidRPr="00CF30B8">
        <w:rPr>
          <w:rFonts w:cs="Arial"/>
          <w:szCs w:val="24"/>
        </w:rPr>
        <w:t xml:space="preserve"> preceding the date of application for the certificate (the historical debt). All these municipal debts were incurred by the previous owner of the property.</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lastRenderedPageBreak/>
        <w:t>[32]</w:t>
      </w:r>
      <w:r w:rsidRPr="00CF30B8">
        <w:rPr>
          <w:rFonts w:cs="Arial"/>
          <w:szCs w:val="24"/>
        </w:rPr>
        <w:tab/>
        <w:t xml:space="preserve">Mr Mitchell in due course </w:t>
      </w:r>
      <w:r w:rsidRPr="00F21F92">
        <w:rPr>
          <w:rFonts w:cs="Arial"/>
          <w:szCs w:val="24"/>
          <w:highlight w:val="yellow"/>
        </w:rPr>
        <w:t xml:space="preserve">sold the property to </w:t>
      </w:r>
      <w:proofErr w:type="gramStart"/>
      <w:r w:rsidRPr="00F21F92">
        <w:rPr>
          <w:rFonts w:cs="Arial"/>
          <w:szCs w:val="24"/>
          <w:highlight w:val="yellow"/>
        </w:rPr>
        <w:t>a</w:t>
      </w:r>
      <w:proofErr w:type="gramEnd"/>
      <w:r w:rsidRPr="00F21F92">
        <w:rPr>
          <w:rFonts w:cs="Arial"/>
          <w:szCs w:val="24"/>
          <w:highlight w:val="yellow"/>
        </w:rPr>
        <w:t xml:space="preserve"> Ms Prinsloo</w:t>
      </w:r>
      <w:r w:rsidRPr="00CF30B8">
        <w:rPr>
          <w:rFonts w:cs="Arial"/>
          <w:szCs w:val="24"/>
        </w:rPr>
        <w:t xml:space="preserve">. Pending transfer of the property into her name Ms Prinsloo </w:t>
      </w:r>
      <w:r w:rsidRPr="00F21F92">
        <w:rPr>
          <w:rFonts w:cs="Arial"/>
          <w:szCs w:val="24"/>
          <w:highlight w:val="yellow"/>
        </w:rPr>
        <w:t>applied to the appellant for the supply of municipal services</w:t>
      </w:r>
      <w:r w:rsidRPr="00CF30B8">
        <w:rPr>
          <w:rFonts w:cs="Arial"/>
          <w:szCs w:val="24"/>
        </w:rPr>
        <w:t xml:space="preserve"> to the property. Her application was r</w:t>
      </w:r>
      <w:r w:rsidRPr="00F21F92">
        <w:rPr>
          <w:rFonts w:cs="Arial"/>
          <w:szCs w:val="24"/>
          <w:highlight w:val="yellow"/>
        </w:rPr>
        <w:t>efused</w:t>
      </w:r>
      <w:r w:rsidRPr="00CF30B8">
        <w:rPr>
          <w:rFonts w:cs="Arial"/>
          <w:szCs w:val="24"/>
        </w:rPr>
        <w:t xml:space="preserve"> on the ground that a municipal debt (historical debt) in the amount of R106 219.75 in connection with the property </w:t>
      </w:r>
      <w:proofErr w:type="gramStart"/>
      <w:r w:rsidRPr="00CF30B8">
        <w:rPr>
          <w:rFonts w:cs="Arial"/>
          <w:szCs w:val="24"/>
        </w:rPr>
        <w:t>was owing</w:t>
      </w:r>
      <w:proofErr w:type="gramEnd"/>
      <w:r w:rsidRPr="00CF30B8">
        <w:rPr>
          <w:rFonts w:cs="Arial"/>
          <w:szCs w:val="24"/>
        </w:rPr>
        <w:t xml:space="preserve">. </w:t>
      </w:r>
      <w:r w:rsidRPr="00F21F92">
        <w:rPr>
          <w:rFonts w:cs="Arial"/>
          <w:szCs w:val="24"/>
          <w:highlight w:val="yellow"/>
        </w:rPr>
        <w:t>She was told that as the new owner of the property, she was liable for its payment</w:t>
      </w:r>
      <w:r w:rsidRPr="00CF30B8">
        <w:rPr>
          <w:rFonts w:cs="Arial"/>
          <w:szCs w:val="24"/>
        </w:rPr>
        <w:t xml:space="preserve"> and that she had to settle it first before the municipal services could be supplied to the property.</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[33]</w:t>
      </w:r>
      <w:r w:rsidRPr="00CF30B8">
        <w:rPr>
          <w:rFonts w:cs="Arial"/>
          <w:szCs w:val="24"/>
        </w:rPr>
        <w:tab/>
        <w:t xml:space="preserve">When Prinsloo threatened to cancel the sale agreement, because of the disagreement with the appellant about liability for a historical debt </w:t>
      </w:r>
      <w:r w:rsidRPr="00F21F92">
        <w:rPr>
          <w:rFonts w:cs="Arial"/>
          <w:szCs w:val="24"/>
          <w:highlight w:val="yellow"/>
        </w:rPr>
        <w:t>Mr Mitchell</w:t>
      </w:r>
      <w:r w:rsidRPr="00CF30B8">
        <w:rPr>
          <w:rFonts w:cs="Arial"/>
          <w:szCs w:val="24"/>
        </w:rPr>
        <w:t xml:space="preserve"> got involved in the discussion with the appellant. He contended that </w:t>
      </w:r>
      <w:r w:rsidRPr="00F21F92">
        <w:rPr>
          <w:rFonts w:cs="Arial"/>
          <w:szCs w:val="24"/>
          <w:highlight w:val="yellow"/>
        </w:rPr>
        <w:t>the security</w:t>
      </w:r>
      <w:r w:rsidRPr="00CF30B8">
        <w:rPr>
          <w:rFonts w:cs="Arial"/>
          <w:szCs w:val="24"/>
        </w:rPr>
        <w:t xml:space="preserve"> conferred by s 118(3) </w:t>
      </w:r>
      <w:r w:rsidRPr="00F21F92">
        <w:rPr>
          <w:rFonts w:cs="Arial"/>
          <w:szCs w:val="24"/>
          <w:highlight w:val="yellow"/>
        </w:rPr>
        <w:t>in favour of the appellant for the payment of a historical debt</w:t>
      </w:r>
      <w:r w:rsidRPr="00CF30B8">
        <w:rPr>
          <w:rFonts w:cs="Arial"/>
          <w:szCs w:val="24"/>
        </w:rPr>
        <w:t xml:space="preserve"> </w:t>
      </w:r>
      <w:r w:rsidRPr="00F21F92">
        <w:rPr>
          <w:rFonts w:cs="Arial"/>
          <w:szCs w:val="24"/>
          <w:highlight w:val="yellow"/>
        </w:rPr>
        <w:t>terminated</w:t>
      </w:r>
      <w:r w:rsidRPr="00CF30B8">
        <w:rPr>
          <w:rFonts w:cs="Arial"/>
          <w:szCs w:val="24"/>
        </w:rPr>
        <w:t xml:space="preserve"> in this matter as </w:t>
      </w:r>
      <w:r w:rsidRPr="00F21F92">
        <w:rPr>
          <w:rFonts w:cs="Arial"/>
          <w:szCs w:val="24"/>
          <w:highlight w:val="yellow"/>
        </w:rPr>
        <w:t>he bought the property at a sale in execution of a judgment against a judgment debtor.</w:t>
      </w:r>
      <w:r w:rsidRPr="00CF30B8">
        <w:rPr>
          <w:rFonts w:cs="Arial"/>
          <w:szCs w:val="24"/>
        </w:rPr>
        <w:t xml:space="preserve"> </w:t>
      </w:r>
    </w:p>
    <w:p w:rsidR="0097356F" w:rsidRPr="00CF30B8" w:rsidRDefault="0097356F" w:rsidP="005D3CAE">
      <w:pPr>
        <w:spacing w:before="0" w:after="0"/>
        <w:jc w:val="both"/>
        <w:rPr>
          <w:rFonts w:cs="Arial"/>
          <w:szCs w:val="24"/>
        </w:rPr>
      </w:pPr>
    </w:p>
    <w:p w:rsidR="0097356F" w:rsidRDefault="0097356F" w:rsidP="005D3CAE">
      <w:pPr>
        <w:spacing w:before="0" w:after="0"/>
        <w:jc w:val="both"/>
        <w:rPr>
          <w:rFonts w:cs="Arial"/>
          <w:szCs w:val="24"/>
        </w:rPr>
      </w:pPr>
      <w:r w:rsidRPr="00CF30B8">
        <w:rPr>
          <w:rFonts w:cs="Arial"/>
          <w:szCs w:val="24"/>
        </w:rPr>
        <w:t>[34]</w:t>
      </w:r>
      <w:r w:rsidRPr="00CF30B8">
        <w:rPr>
          <w:rFonts w:cs="Arial"/>
          <w:szCs w:val="24"/>
        </w:rPr>
        <w:tab/>
        <w:t xml:space="preserve">The appellant and Mitchell reached an impasse and in the result Mitchell </w:t>
      </w:r>
      <w:r w:rsidRPr="00F21F92">
        <w:rPr>
          <w:rFonts w:cs="Arial"/>
          <w:szCs w:val="24"/>
          <w:highlight w:val="yellow"/>
        </w:rPr>
        <w:t>approached the Gauteng Division of the High Court</w:t>
      </w:r>
      <w:r w:rsidRPr="00CF30B8">
        <w:rPr>
          <w:rFonts w:cs="Arial"/>
          <w:szCs w:val="24"/>
        </w:rPr>
        <w:t>, Pretoria seeking inter alia the following relief:</w:t>
      </w:r>
    </w:p>
    <w:p w:rsidR="00F21F92" w:rsidRPr="00CF30B8" w:rsidRDefault="00F21F92" w:rsidP="005D3CAE">
      <w:pPr>
        <w:spacing w:before="0" w:after="0"/>
        <w:jc w:val="both"/>
        <w:rPr>
          <w:rFonts w:cs="Arial"/>
          <w:szCs w:val="24"/>
        </w:rPr>
      </w:pPr>
    </w:p>
    <w:p w:rsidR="0097356F" w:rsidRPr="00CF30B8" w:rsidRDefault="0097356F" w:rsidP="00F21F92">
      <w:pPr>
        <w:spacing w:before="0" w:after="0" w:line="240" w:lineRule="auto"/>
        <w:ind w:left="1440" w:hanging="720"/>
        <w:jc w:val="both"/>
        <w:rPr>
          <w:rFonts w:cs="Arial"/>
          <w:szCs w:val="24"/>
        </w:rPr>
      </w:pPr>
      <w:r w:rsidRPr="00CF30B8">
        <w:rPr>
          <w:rFonts w:cs="Arial"/>
          <w:szCs w:val="24"/>
        </w:rPr>
        <w:t>‘1.</w:t>
      </w:r>
      <w:r w:rsidRPr="00CF30B8">
        <w:rPr>
          <w:rFonts w:cs="Arial"/>
          <w:szCs w:val="24"/>
        </w:rPr>
        <w:tab/>
        <w:t>It is declared that the lien (</w:t>
      </w:r>
      <w:r w:rsidRPr="00CF30B8">
        <w:rPr>
          <w:rFonts w:cs="Arial"/>
          <w:i/>
          <w:szCs w:val="24"/>
        </w:rPr>
        <w:t>hypothec</w:t>
      </w:r>
      <w:r w:rsidRPr="00CF30B8">
        <w:rPr>
          <w:rFonts w:cs="Arial"/>
          <w:szCs w:val="24"/>
        </w:rPr>
        <w:t xml:space="preserve">) over the property, better known as: Erf 296 </w:t>
      </w:r>
      <w:proofErr w:type="spellStart"/>
      <w:r w:rsidRPr="00CF30B8">
        <w:rPr>
          <w:rFonts w:cs="Arial"/>
          <w:szCs w:val="24"/>
        </w:rPr>
        <w:t>Wonderboom</w:t>
      </w:r>
      <w:proofErr w:type="spellEnd"/>
      <w:r w:rsidRPr="00CF30B8">
        <w:rPr>
          <w:rFonts w:cs="Arial"/>
          <w:szCs w:val="24"/>
        </w:rPr>
        <w:t xml:space="preserve"> Township, Registration Division J.R., The Province of Gauteng (Herein referred to as “</w:t>
      </w:r>
      <w:r w:rsidRPr="00CF30B8">
        <w:rPr>
          <w:rFonts w:cs="Arial"/>
          <w:i/>
          <w:szCs w:val="24"/>
        </w:rPr>
        <w:t>The Property</w:t>
      </w:r>
      <w:r w:rsidRPr="00CF30B8">
        <w:rPr>
          <w:rFonts w:cs="Arial"/>
          <w:szCs w:val="24"/>
        </w:rPr>
        <w:t>”) held in terms of Section 118(3) of Act 32 of 2000, upon transfer, do not pass over to The Property’s new owner or assigns and successors in title.</w:t>
      </w:r>
    </w:p>
    <w:p w:rsidR="0097356F" w:rsidRPr="00CF30B8" w:rsidRDefault="0097356F" w:rsidP="00F21F92">
      <w:pPr>
        <w:spacing w:before="0" w:after="0" w:line="240" w:lineRule="auto"/>
        <w:ind w:left="1440" w:hanging="720"/>
        <w:jc w:val="both"/>
        <w:rPr>
          <w:rFonts w:cs="Arial"/>
          <w:szCs w:val="24"/>
        </w:rPr>
      </w:pPr>
      <w:r w:rsidRPr="00CF30B8">
        <w:rPr>
          <w:rFonts w:cs="Arial"/>
          <w:szCs w:val="24"/>
        </w:rPr>
        <w:t>2.</w:t>
      </w:r>
      <w:r w:rsidRPr="00CF30B8">
        <w:rPr>
          <w:rFonts w:cs="Arial"/>
          <w:szCs w:val="24"/>
        </w:rPr>
        <w:tab/>
        <w:t xml:space="preserve">THAT the Applicant or his assigns and </w:t>
      </w:r>
      <w:proofErr w:type="gramStart"/>
      <w:r w:rsidRPr="00CF30B8">
        <w:rPr>
          <w:rFonts w:cs="Arial"/>
          <w:szCs w:val="24"/>
        </w:rPr>
        <w:t>successors in title of The Property is</w:t>
      </w:r>
      <w:proofErr w:type="gramEnd"/>
      <w:r w:rsidRPr="00CF30B8">
        <w:rPr>
          <w:rFonts w:cs="Arial"/>
          <w:szCs w:val="24"/>
        </w:rPr>
        <w:t xml:space="preserve"> not liable for the historical municipal debt of previous owners.</w:t>
      </w:r>
    </w:p>
    <w:p w:rsidR="0097356F" w:rsidRPr="00CF30B8" w:rsidRDefault="0097356F" w:rsidP="00F21F92">
      <w:pPr>
        <w:spacing w:before="0" w:after="0" w:line="240" w:lineRule="auto"/>
        <w:ind w:left="1440" w:hanging="720"/>
        <w:jc w:val="both"/>
        <w:rPr>
          <w:rFonts w:cs="Arial"/>
          <w:szCs w:val="24"/>
        </w:rPr>
      </w:pPr>
      <w:r w:rsidRPr="00CF30B8">
        <w:rPr>
          <w:rFonts w:cs="Arial"/>
          <w:szCs w:val="24"/>
        </w:rPr>
        <w:t>3.</w:t>
      </w:r>
      <w:r w:rsidRPr="00CF30B8">
        <w:rPr>
          <w:rFonts w:cs="Arial"/>
          <w:szCs w:val="24"/>
        </w:rPr>
        <w:tab/>
        <w:t>THAT the Respondent is hereby ordered to open a Municipal account in the name of the Applicant or his assigns and successors in title of The Property for Municipal Services on registration of The Property reflecting Municipal Services and costs as from date of registration.</w:t>
      </w:r>
    </w:p>
    <w:p w:rsidR="0097356F" w:rsidRPr="00CF30B8" w:rsidRDefault="0097356F" w:rsidP="00F21F92">
      <w:pPr>
        <w:spacing w:before="0" w:after="0" w:line="240" w:lineRule="auto"/>
        <w:ind w:left="720"/>
        <w:jc w:val="both"/>
        <w:rPr>
          <w:rFonts w:cs="Arial"/>
          <w:szCs w:val="24"/>
        </w:rPr>
      </w:pPr>
      <w:r w:rsidRPr="00CF30B8">
        <w:rPr>
          <w:rFonts w:cs="Arial"/>
          <w:szCs w:val="24"/>
        </w:rPr>
        <w:t>4.</w:t>
      </w:r>
      <w:r w:rsidRPr="00CF30B8">
        <w:rPr>
          <w:rFonts w:cs="Arial"/>
          <w:szCs w:val="24"/>
        </w:rPr>
        <w:tab/>
        <w:t xml:space="preserve">THAT the Respondent </w:t>
      </w:r>
      <w:proofErr w:type="gramStart"/>
      <w:r w:rsidRPr="00CF30B8">
        <w:rPr>
          <w:rFonts w:cs="Arial"/>
          <w:szCs w:val="24"/>
        </w:rPr>
        <w:t>pay</w:t>
      </w:r>
      <w:proofErr w:type="gramEnd"/>
      <w:r w:rsidRPr="00CF30B8">
        <w:rPr>
          <w:rFonts w:cs="Arial"/>
          <w:szCs w:val="24"/>
        </w:rPr>
        <w:t xml:space="preserve"> the cost.’</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b/>
          <w:szCs w:val="24"/>
        </w:rPr>
      </w:pPr>
      <w:r w:rsidRPr="00CF30B8">
        <w:rPr>
          <w:rFonts w:cs="Arial"/>
          <w:szCs w:val="24"/>
        </w:rPr>
        <w:t>[35]</w:t>
      </w:r>
      <w:r w:rsidRPr="00CF30B8">
        <w:rPr>
          <w:rFonts w:cs="Arial"/>
          <w:szCs w:val="24"/>
        </w:rPr>
        <w:tab/>
        <w:t xml:space="preserve">The </w:t>
      </w:r>
      <w:r w:rsidRPr="003061E0">
        <w:rPr>
          <w:rFonts w:cs="Arial"/>
          <w:szCs w:val="24"/>
          <w:highlight w:val="yellow"/>
        </w:rPr>
        <w:t>municipality opposed the application</w:t>
      </w:r>
      <w:r w:rsidRPr="00CF30B8">
        <w:rPr>
          <w:rFonts w:cs="Arial"/>
          <w:szCs w:val="24"/>
        </w:rPr>
        <w:t xml:space="preserve"> and raised certain questions of law in terms of Rule 6(5</w:t>
      </w:r>
      <w:proofErr w:type="gramStart"/>
      <w:r w:rsidRPr="00CF30B8">
        <w:rPr>
          <w:rFonts w:cs="Arial"/>
          <w:szCs w:val="24"/>
        </w:rPr>
        <w:t>)(</w:t>
      </w:r>
      <w:proofErr w:type="gramEnd"/>
      <w:r w:rsidRPr="00CF30B8">
        <w:rPr>
          <w:rFonts w:cs="Arial"/>
          <w:szCs w:val="24"/>
        </w:rPr>
        <w:t xml:space="preserve">d)(iii) of the Uniform Rules of Court. Essentially, it </w:t>
      </w:r>
      <w:r w:rsidRPr="003061E0">
        <w:rPr>
          <w:rFonts w:cs="Arial"/>
          <w:szCs w:val="24"/>
          <w:highlight w:val="yellow"/>
        </w:rPr>
        <w:t>contended that Mitchell was liable for the payment of the historical debt incurred by his predecessor in title because a security which s 118(3) creates</w:t>
      </w:r>
      <w:r w:rsidRPr="00CF30B8">
        <w:rPr>
          <w:rFonts w:cs="Arial"/>
          <w:szCs w:val="24"/>
        </w:rPr>
        <w:t xml:space="preserve"> in favour of a municipality over a property, for the payment of debts in connection with that </w:t>
      </w:r>
      <w:r w:rsidRPr="00CF30B8">
        <w:rPr>
          <w:rFonts w:cs="Arial"/>
          <w:szCs w:val="24"/>
        </w:rPr>
        <w:lastRenderedPageBreak/>
        <w:t xml:space="preserve">property, </w:t>
      </w:r>
      <w:r w:rsidRPr="003061E0">
        <w:rPr>
          <w:rFonts w:cs="Arial"/>
          <w:szCs w:val="24"/>
          <w:highlight w:val="yellow"/>
        </w:rPr>
        <w:t>survives the transfer of the property from one owner to the other even in circumstances where such transfer occurs pursuant to a sale in execution of a judgment against a judgment debtor.</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[36]</w:t>
      </w:r>
      <w:r w:rsidRPr="00CF30B8">
        <w:rPr>
          <w:rFonts w:cs="Arial"/>
          <w:szCs w:val="24"/>
        </w:rPr>
        <w:tab/>
        <w:t xml:space="preserve">The </w:t>
      </w:r>
      <w:r w:rsidRPr="005128F3">
        <w:rPr>
          <w:rFonts w:cs="Arial"/>
          <w:szCs w:val="24"/>
          <w:highlight w:val="yellow"/>
        </w:rPr>
        <w:t>court a quo upheld Mitchell’s contention</w:t>
      </w:r>
      <w:r w:rsidRPr="00CF30B8">
        <w:rPr>
          <w:rFonts w:cs="Arial"/>
          <w:szCs w:val="24"/>
        </w:rPr>
        <w:t xml:space="preserve"> and held that he was not liable for the payment of the historical debt, and also held that the appellant had no right to refuse him the supply of municipal services merely because the debts incurred by the previous owner are outstanding.</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[37]</w:t>
      </w:r>
      <w:r w:rsidRPr="00CF30B8">
        <w:rPr>
          <w:rFonts w:cs="Arial"/>
          <w:szCs w:val="24"/>
        </w:rPr>
        <w:tab/>
        <w:t xml:space="preserve">Regarding the </w:t>
      </w:r>
      <w:r w:rsidRPr="004B07B8">
        <w:rPr>
          <w:rFonts w:cs="Arial"/>
          <w:szCs w:val="24"/>
          <w:highlight w:val="yellow"/>
        </w:rPr>
        <w:t>nature of the right conferred by s 118(3)</w:t>
      </w:r>
      <w:r w:rsidRPr="00CF30B8">
        <w:rPr>
          <w:rFonts w:cs="Arial"/>
          <w:szCs w:val="24"/>
        </w:rPr>
        <w:t xml:space="preserve"> the court a quo correctly described it as a real right of security created by statute in favour of the municipality. It stated that there is, generally speaking, no reason why transfer of the property in the normal course of business should terminate the real right while the principal debt is still outstanding. Relying on </w:t>
      </w:r>
      <w:proofErr w:type="spellStart"/>
      <w:r w:rsidRPr="00CF30B8">
        <w:rPr>
          <w:rFonts w:cs="Arial"/>
          <w:szCs w:val="24"/>
        </w:rPr>
        <w:t>Voet</w:t>
      </w:r>
      <w:proofErr w:type="spellEnd"/>
      <w:r w:rsidRPr="00CF30B8">
        <w:rPr>
          <w:rFonts w:cs="Arial"/>
          <w:szCs w:val="24"/>
        </w:rPr>
        <w:t xml:space="preserve"> 20.1.13 it held, however, that where the property is sold at a sale in execution the real right of security is extinguished and the new owner obtains a clean title. It justified the distinction on the basis of the reasoning that a sale in execution does not take place in terms of an agreement, but follows upon an order of court </w:t>
      </w:r>
      <w:proofErr w:type="spellStart"/>
      <w:r w:rsidRPr="00CF30B8">
        <w:rPr>
          <w:rFonts w:cs="Arial"/>
          <w:szCs w:val="24"/>
        </w:rPr>
        <w:t>whereafter</w:t>
      </w:r>
      <w:proofErr w:type="spellEnd"/>
      <w:r w:rsidRPr="00CF30B8">
        <w:rPr>
          <w:rFonts w:cs="Arial"/>
          <w:szCs w:val="24"/>
        </w:rPr>
        <w:t xml:space="preserve"> the property is publicly converted into cash to satisfy the claims of creditors, whereas in the case of a private sale this is not the case.  It accordingly concluded that the s 118(3) charge does not survive the transfer of property where such transfer takes place pursuant to a sale in execution.</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[38]</w:t>
      </w:r>
      <w:r w:rsidRPr="00CF30B8">
        <w:rPr>
          <w:rFonts w:cs="Arial"/>
          <w:szCs w:val="24"/>
        </w:rPr>
        <w:tab/>
        <w:t>With regard to the status of the historical debt it held that where transfer is acquired pursuant to a sale in execution a new owner acquires a clean title free from burdens resulting from unpaid debts. The principal obligation arising from unpaid debts however continues to exist and is not affected by the loss of security with the result that the person who incurred those unpaid debts remains liable to the municipality for their payment. This was so, it held, because there is a distinction between a tacit statutory hypothec as a form of security and the principal obligation (debt). The former is a security for payment of the debt and the latter is a debt.  And the extinction of the security does not affect the existence of the underlying debt.</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lastRenderedPageBreak/>
        <w:t>[39]</w:t>
      </w:r>
      <w:r w:rsidRPr="00CF30B8">
        <w:rPr>
          <w:rFonts w:cs="Arial"/>
          <w:szCs w:val="24"/>
        </w:rPr>
        <w:tab/>
        <w:t>On the question whether the municipality may refuse the supply of municipal services as long as there is a debt outstanding with regard to the property, it held that neither the Act, the applicable by-laws nor the credit-control policy document contain a provision, expressly or by necessary implication, providing that the successor in title of property with regard to which there are historical debts outstanding, is liable for those debts as a co-debtor, jointly and severally with the principal debtor or that the municipality has the right to refuse the supply of municipal services to such a new owner of the property. The appeal against these findings and the order is with leave of the court below.</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[40]</w:t>
      </w:r>
      <w:r w:rsidRPr="00CF30B8">
        <w:rPr>
          <w:rFonts w:cs="Arial"/>
          <w:szCs w:val="24"/>
        </w:rPr>
        <w:tab/>
        <w:t xml:space="preserve"> The case for the appellant is this: the tacit statutory hypothec provided for in s 118(3), being a burden on the property, survives the transfer of the property from one owner to another ‘irrespective of whether the property was sold in execution, or through a sale in the normal course of </w:t>
      </w:r>
      <w:proofErr w:type="gramStart"/>
      <w:r w:rsidRPr="00CF30B8">
        <w:rPr>
          <w:rFonts w:cs="Arial"/>
          <w:szCs w:val="24"/>
        </w:rPr>
        <w:t>business’</w:t>
      </w:r>
      <w:proofErr w:type="gramEnd"/>
      <w:r w:rsidRPr="00CF30B8">
        <w:rPr>
          <w:rFonts w:cs="Arial"/>
          <w:szCs w:val="24"/>
        </w:rPr>
        <w:t xml:space="preserve">. In developing this argument it contended that it may, at any time perfect its statutory hypothec to the value of outstanding municipal debts provided that such debts have not become prescribed by obtaining an appropriate court order; sell the property in execution and apply the proceeds to settle the outstanding municipal debts notwithstanding the fact that those debts were incurred by an erstwhile owner / occupier prior to registration of transfer of the property into the name of the current owner. In support of this proposition the appellant placed heavy reliance on </w:t>
      </w:r>
      <w:proofErr w:type="spellStart"/>
      <w:r w:rsidRPr="00CF30B8">
        <w:rPr>
          <w:rFonts w:cs="Arial"/>
          <w:i/>
          <w:szCs w:val="24"/>
        </w:rPr>
        <w:t>Mathabathe</w:t>
      </w:r>
      <w:proofErr w:type="spellEnd"/>
      <w:r w:rsidRPr="00CF30B8">
        <w:rPr>
          <w:rStyle w:val="FootnoteReference"/>
          <w:szCs w:val="24"/>
        </w:rPr>
        <w:footnoteReference w:id="29"/>
      </w:r>
      <w:r w:rsidRPr="00CF30B8">
        <w:rPr>
          <w:rFonts w:cs="Arial"/>
          <w:szCs w:val="24"/>
        </w:rPr>
        <w:t xml:space="preserve"> (para 12) where it </w:t>
      </w:r>
      <w:r w:rsidRPr="00CF30B8">
        <w:rPr>
          <w:szCs w:val="24"/>
        </w:rPr>
        <w:t>was held by this court:</w:t>
      </w:r>
    </w:p>
    <w:p w:rsidR="0097356F" w:rsidRPr="00CF30B8" w:rsidRDefault="0097356F" w:rsidP="005D3CAE">
      <w:pPr>
        <w:spacing w:before="0" w:after="0"/>
        <w:jc w:val="both"/>
        <w:rPr>
          <w:rFonts w:cs="Arial"/>
          <w:szCs w:val="24"/>
        </w:rPr>
      </w:pPr>
      <w:r w:rsidRPr="00CF30B8">
        <w:rPr>
          <w:rFonts w:cs="Arial"/>
          <w:szCs w:val="24"/>
        </w:rPr>
        <w:t xml:space="preserve">‘Unlike </w:t>
      </w:r>
      <w:proofErr w:type="spellStart"/>
      <w:r w:rsidRPr="00CF30B8">
        <w:rPr>
          <w:rFonts w:cs="Arial"/>
          <w:szCs w:val="24"/>
        </w:rPr>
        <w:t>ss</w:t>
      </w:r>
      <w:proofErr w:type="spellEnd"/>
      <w:r w:rsidRPr="00CF30B8">
        <w:rPr>
          <w:rFonts w:cs="Arial"/>
          <w:szCs w:val="24"/>
        </w:rPr>
        <w:t xml:space="preserve"> (1), </w:t>
      </w:r>
      <w:proofErr w:type="spellStart"/>
      <w:r w:rsidRPr="00CF30B8">
        <w:rPr>
          <w:rFonts w:cs="Arial"/>
          <w:szCs w:val="24"/>
        </w:rPr>
        <w:t>ss</w:t>
      </w:r>
      <w:proofErr w:type="spellEnd"/>
      <w:r w:rsidRPr="00CF30B8">
        <w:rPr>
          <w:rFonts w:cs="Arial"/>
          <w:szCs w:val="24"/>
        </w:rPr>
        <w:t xml:space="preserve"> (3) is not an embargo provision ─ it self-evidently is a security provision. The Municipality failed to draw that distinction and thus confused the two distinct remedies available to it. It, moreover, was plainly wrong in its contention that “upon registration [of transfer] . . . [it] loses its rights under s 118(3) of the Act”. It follows that in at least those two fundamental respects the Municipality has misconstrued the import of s</w:t>
      </w:r>
      <w:r w:rsidR="00390EC2" w:rsidRPr="00CF30B8">
        <w:rPr>
          <w:rFonts w:cs="Arial"/>
          <w:szCs w:val="24"/>
        </w:rPr>
        <w:t> </w:t>
      </w:r>
      <w:r w:rsidRPr="00CF30B8">
        <w:rPr>
          <w:rFonts w:cs="Arial"/>
          <w:szCs w:val="24"/>
        </w:rPr>
        <w:t>118(3). Having misconstrued the section, it sought, in addition to the security that it enjoys for the historical debt to which no limit in duration exists, the postulated undertaking. In that it had to fail.’</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b/>
          <w:szCs w:val="24"/>
        </w:rPr>
      </w:pPr>
      <w:r w:rsidRPr="00CF30B8">
        <w:rPr>
          <w:b/>
          <w:szCs w:val="24"/>
        </w:rPr>
        <w:lastRenderedPageBreak/>
        <w:t xml:space="preserve">Interpretation of s 118 of the Act </w:t>
      </w:r>
    </w:p>
    <w:p w:rsidR="0097356F" w:rsidRPr="00CF30B8" w:rsidRDefault="0097356F" w:rsidP="005D3CAE">
      <w:pPr>
        <w:spacing w:before="0" w:after="0"/>
        <w:jc w:val="both"/>
        <w:rPr>
          <w:rFonts w:cs="Arial"/>
          <w:szCs w:val="24"/>
        </w:rPr>
      </w:pPr>
      <w:r w:rsidRPr="00CF30B8">
        <w:rPr>
          <w:rFonts w:cs="Arial"/>
          <w:szCs w:val="24"/>
        </w:rPr>
        <w:t>[41]</w:t>
      </w:r>
      <w:r w:rsidRPr="00CF30B8">
        <w:rPr>
          <w:rFonts w:cs="Arial"/>
          <w:szCs w:val="24"/>
        </w:rPr>
        <w:tab/>
        <w:t>The relevant parts of s 118 provide:</w:t>
      </w:r>
    </w:p>
    <w:p w:rsidR="0097356F" w:rsidRPr="00CF30B8" w:rsidRDefault="0097356F" w:rsidP="005D3CAE">
      <w:pPr>
        <w:spacing w:before="0" w:after="0"/>
        <w:jc w:val="both"/>
        <w:rPr>
          <w:rFonts w:cs="Arial"/>
          <w:szCs w:val="24"/>
        </w:rPr>
      </w:pPr>
      <w:r w:rsidRPr="00CF30B8">
        <w:rPr>
          <w:rFonts w:cs="Arial"/>
          <w:szCs w:val="24"/>
        </w:rPr>
        <w:t>‘(1)</w:t>
      </w:r>
      <w:r w:rsidRPr="00CF30B8">
        <w:rPr>
          <w:rFonts w:cs="Arial"/>
          <w:szCs w:val="24"/>
        </w:rPr>
        <w:tab/>
        <w:t>A registrar of deeds may not register the transfer of property except on production to that registrar of deeds of a prescribed certificate─</w:t>
      </w:r>
    </w:p>
    <w:p w:rsidR="0097356F" w:rsidRPr="00CF30B8" w:rsidRDefault="0097356F" w:rsidP="005D3CAE">
      <w:pPr>
        <w:spacing w:before="0" w:after="0"/>
        <w:jc w:val="both"/>
        <w:rPr>
          <w:rFonts w:cs="Arial"/>
          <w:szCs w:val="24"/>
        </w:rPr>
      </w:pPr>
      <w:r w:rsidRPr="00CF30B8">
        <w:rPr>
          <w:rFonts w:cs="Arial"/>
          <w:i/>
          <w:szCs w:val="24"/>
        </w:rPr>
        <w:t>(a)</w:t>
      </w:r>
      <w:r w:rsidRPr="00CF30B8">
        <w:rPr>
          <w:rFonts w:cs="Arial"/>
          <w:i/>
          <w:szCs w:val="24"/>
        </w:rPr>
        <w:tab/>
      </w:r>
      <w:proofErr w:type="gramStart"/>
      <w:r w:rsidRPr="00CF30B8">
        <w:rPr>
          <w:rFonts w:cs="Arial"/>
          <w:szCs w:val="24"/>
        </w:rPr>
        <w:t>issued</w:t>
      </w:r>
      <w:proofErr w:type="gramEnd"/>
      <w:r w:rsidRPr="00CF30B8">
        <w:rPr>
          <w:rFonts w:cs="Arial"/>
          <w:szCs w:val="24"/>
        </w:rPr>
        <w:t xml:space="preserve"> by the municipality or municipalities in which that property is situated; and</w:t>
      </w:r>
    </w:p>
    <w:p w:rsidR="0097356F" w:rsidRPr="00CF30B8" w:rsidRDefault="0097356F" w:rsidP="005D3CAE">
      <w:pPr>
        <w:spacing w:before="0" w:after="0"/>
        <w:jc w:val="both"/>
        <w:rPr>
          <w:rFonts w:cs="Arial"/>
          <w:szCs w:val="24"/>
        </w:rPr>
      </w:pPr>
      <w:r w:rsidRPr="00CF30B8">
        <w:rPr>
          <w:rFonts w:cs="Arial"/>
          <w:i/>
          <w:szCs w:val="24"/>
        </w:rPr>
        <w:t>(b)</w:t>
      </w:r>
      <w:r w:rsidRPr="00CF30B8">
        <w:rPr>
          <w:rFonts w:cs="Arial"/>
          <w:i/>
          <w:szCs w:val="24"/>
        </w:rPr>
        <w:tab/>
      </w:r>
      <w:proofErr w:type="gramStart"/>
      <w:r w:rsidRPr="00CF30B8">
        <w:rPr>
          <w:rFonts w:cs="Arial"/>
          <w:szCs w:val="24"/>
        </w:rPr>
        <w:t>which</w:t>
      </w:r>
      <w:proofErr w:type="gramEnd"/>
      <w:r w:rsidRPr="00CF30B8">
        <w:rPr>
          <w:rFonts w:cs="Arial"/>
          <w:szCs w:val="24"/>
        </w:rPr>
        <w:t xml:space="preserve"> certifies that all amounts that became due in connection with that property for municipal service fees, surcharges on fees, property rates and other municipal taxes, levies and duties during the two years preceding the date of application for the certificate have been fully paid.</w:t>
      </w:r>
    </w:p>
    <w:p w:rsidR="0097356F" w:rsidRPr="00CF30B8" w:rsidRDefault="0097356F" w:rsidP="005D3CAE">
      <w:pPr>
        <w:spacing w:before="0" w:after="0"/>
        <w:jc w:val="both"/>
        <w:rPr>
          <w:rFonts w:cs="Arial"/>
          <w:szCs w:val="24"/>
        </w:rPr>
      </w:pPr>
      <w:r w:rsidRPr="00CF30B8">
        <w:rPr>
          <w:rFonts w:cs="Arial"/>
          <w:szCs w:val="24"/>
        </w:rPr>
        <w:t>(1A)</w:t>
      </w:r>
      <w:r w:rsidRPr="00CF30B8">
        <w:rPr>
          <w:rFonts w:cs="Arial"/>
          <w:szCs w:val="24"/>
        </w:rPr>
        <w:tab/>
        <w:t>A prescribed certificate issued by a municipality in terms of subsection (1) is valid for a period of 60 days from the date it has been issued.</w:t>
      </w:r>
    </w:p>
    <w:p w:rsidR="0097356F" w:rsidRPr="00CF30B8" w:rsidRDefault="0097356F" w:rsidP="005D3CAE">
      <w:pPr>
        <w:spacing w:before="0" w:after="0"/>
        <w:jc w:val="both"/>
        <w:rPr>
          <w:rFonts w:cs="Arial"/>
          <w:szCs w:val="24"/>
        </w:rPr>
      </w:pPr>
      <w:r w:rsidRPr="00CF30B8">
        <w:rPr>
          <w:rFonts w:cs="Arial"/>
          <w:szCs w:val="24"/>
        </w:rPr>
        <w:t>. . .</w:t>
      </w:r>
    </w:p>
    <w:p w:rsidR="0097356F" w:rsidRPr="00CF30B8" w:rsidRDefault="0097356F" w:rsidP="005D3CAE">
      <w:pPr>
        <w:spacing w:before="0" w:after="0"/>
        <w:jc w:val="both"/>
        <w:rPr>
          <w:rFonts w:cs="Arial"/>
          <w:szCs w:val="24"/>
        </w:rPr>
      </w:pPr>
      <w:r w:rsidRPr="00CF30B8">
        <w:rPr>
          <w:rFonts w:cs="Arial"/>
          <w:szCs w:val="24"/>
        </w:rPr>
        <w:t>(3)</w:t>
      </w:r>
      <w:r w:rsidRPr="00CF30B8">
        <w:rPr>
          <w:rFonts w:cs="Arial"/>
          <w:szCs w:val="24"/>
        </w:rPr>
        <w:tab/>
        <w:t>An amount due for municipal service fees, surcharges on fees, property rates and other municipal taxes, levies and duties is a charge upon the property in connection with which the amount is owing and enjoys preference over any mortgage bond registered against the property.’</w:t>
      </w:r>
    </w:p>
    <w:p w:rsidR="0097356F" w:rsidRPr="00CF30B8" w:rsidRDefault="0097356F" w:rsidP="005D3CAE">
      <w:pPr>
        <w:spacing w:before="0" w:after="0"/>
        <w:jc w:val="both"/>
        <w:rPr>
          <w:rFonts w:cs="Arial"/>
          <w:szCs w:val="24"/>
        </w:rPr>
      </w:pPr>
    </w:p>
    <w:p w:rsidR="0097356F" w:rsidRPr="00AF131A" w:rsidRDefault="0097356F" w:rsidP="005D3CAE">
      <w:pPr>
        <w:spacing w:before="0" w:after="0"/>
        <w:jc w:val="both"/>
        <w:rPr>
          <w:szCs w:val="24"/>
        </w:rPr>
      </w:pPr>
      <w:r w:rsidRPr="00CF30B8">
        <w:rPr>
          <w:rFonts w:cs="Arial"/>
          <w:szCs w:val="24"/>
        </w:rPr>
        <w:t>In interpreting s</w:t>
      </w:r>
      <w:r w:rsidR="004B32B9" w:rsidRPr="00CF30B8">
        <w:rPr>
          <w:rFonts w:cs="Arial"/>
          <w:szCs w:val="24"/>
        </w:rPr>
        <w:t> </w:t>
      </w:r>
      <w:r w:rsidRPr="00CF30B8">
        <w:rPr>
          <w:rFonts w:cs="Arial"/>
          <w:szCs w:val="24"/>
        </w:rPr>
        <w:t>118(3) read with s</w:t>
      </w:r>
      <w:r w:rsidR="004B32B9" w:rsidRPr="00CF30B8">
        <w:rPr>
          <w:rFonts w:cs="Arial"/>
          <w:szCs w:val="24"/>
        </w:rPr>
        <w:t> </w:t>
      </w:r>
      <w:r w:rsidRPr="00CF30B8">
        <w:rPr>
          <w:rFonts w:cs="Arial"/>
          <w:szCs w:val="24"/>
        </w:rPr>
        <w:t>118(1) the ‘inevitable point of departure is the language’ of its provision itself, read in context and having regard to its purpose and</w:t>
      </w:r>
      <w:r w:rsidR="00D94927" w:rsidRPr="00CF30B8">
        <w:rPr>
          <w:rFonts w:cs="Arial"/>
          <w:szCs w:val="24"/>
        </w:rPr>
        <w:br/>
      </w:r>
      <w:r w:rsidRPr="00CF30B8">
        <w:rPr>
          <w:rFonts w:cs="Arial"/>
          <w:szCs w:val="24"/>
        </w:rPr>
        <w:t>the background to its enactment.</w:t>
      </w:r>
      <w:r w:rsidRPr="00CF30B8">
        <w:rPr>
          <w:rStyle w:val="FootnoteReference"/>
          <w:szCs w:val="24"/>
        </w:rPr>
        <w:footnoteReference w:id="30"/>
      </w:r>
      <w:r w:rsidRPr="00CF30B8">
        <w:rPr>
          <w:rFonts w:cs="Arial"/>
          <w:szCs w:val="24"/>
        </w:rPr>
        <w:t xml:space="preserve"> In </w:t>
      </w:r>
      <w:proofErr w:type="spellStart"/>
      <w:r w:rsidRPr="00CF30B8">
        <w:rPr>
          <w:i/>
          <w:szCs w:val="24"/>
        </w:rPr>
        <w:t>Manyasha</w:t>
      </w:r>
      <w:proofErr w:type="spellEnd"/>
      <w:r w:rsidRPr="00CF30B8">
        <w:rPr>
          <w:i/>
          <w:szCs w:val="24"/>
        </w:rPr>
        <w:t xml:space="preserve"> v Minister of Law and Order</w:t>
      </w:r>
      <w:r w:rsidRPr="00CF30B8">
        <w:rPr>
          <w:rFonts w:cs="Arial"/>
          <w:szCs w:val="24"/>
        </w:rPr>
        <w:t>,</w:t>
      </w:r>
      <w:r w:rsidRPr="00CF30B8">
        <w:rPr>
          <w:rStyle w:val="FootnoteReference"/>
          <w:szCs w:val="24"/>
        </w:rPr>
        <w:footnoteReference w:id="31"/>
      </w:r>
      <w:r w:rsidRPr="00CF30B8">
        <w:rPr>
          <w:rFonts w:cs="Arial"/>
          <w:szCs w:val="24"/>
        </w:rPr>
        <w:t xml:space="preserve"> this court reiterated the ‘golden rule’ of statutory interpretation in the following terms:</w:t>
      </w:r>
    </w:p>
    <w:p w:rsidR="00F21F92" w:rsidRDefault="00F21F92" w:rsidP="005D3CAE">
      <w:pPr>
        <w:spacing w:before="0" w:after="0"/>
        <w:jc w:val="both"/>
        <w:rPr>
          <w:rFonts w:cs="Arial"/>
          <w:szCs w:val="24"/>
        </w:rPr>
      </w:pPr>
    </w:p>
    <w:p w:rsidR="0097356F" w:rsidRPr="00CF30B8" w:rsidRDefault="0097356F" w:rsidP="00F21F92">
      <w:pPr>
        <w:spacing w:before="0" w:after="0" w:line="240" w:lineRule="auto"/>
        <w:ind w:left="720"/>
        <w:jc w:val="both"/>
        <w:rPr>
          <w:rFonts w:cs="Arial"/>
          <w:szCs w:val="24"/>
        </w:rPr>
      </w:pPr>
      <w:r w:rsidRPr="00CF30B8">
        <w:rPr>
          <w:rFonts w:cs="Arial"/>
          <w:szCs w:val="24"/>
        </w:rPr>
        <w:t xml:space="preserve">‘It is trite that the primary rule in the construction of statutory provisions is to ascertain the intention of the </w:t>
      </w:r>
      <w:r w:rsidR="007F56BC" w:rsidRPr="00CF30B8">
        <w:rPr>
          <w:rFonts w:cs="Arial"/>
          <w:szCs w:val="24"/>
        </w:rPr>
        <w:t>l</w:t>
      </w:r>
      <w:r w:rsidRPr="00CF30B8">
        <w:rPr>
          <w:rFonts w:cs="Arial"/>
          <w:szCs w:val="24"/>
        </w:rPr>
        <w:t xml:space="preserve">egislature; in the present matter it is, more pertinently, the intention of the </w:t>
      </w:r>
      <w:proofErr w:type="spellStart"/>
      <w:r w:rsidRPr="00CF30B8">
        <w:rPr>
          <w:rFonts w:cs="Arial"/>
          <w:szCs w:val="24"/>
        </w:rPr>
        <w:t>Rulemaker</w:t>
      </w:r>
      <w:proofErr w:type="spellEnd"/>
      <w:r w:rsidRPr="00CF30B8">
        <w:rPr>
          <w:rFonts w:cs="Arial"/>
          <w:szCs w:val="24"/>
        </w:rPr>
        <w:t xml:space="preserve"> that needs to be determined. One seeks to achieve this, in the first instance, by giving the words of the provision under consideration the ordinary grammatical meaning which their context dictates, unless to do so would lead to an absurdity so glaring that the </w:t>
      </w:r>
      <w:proofErr w:type="spellStart"/>
      <w:r w:rsidRPr="00CF30B8">
        <w:rPr>
          <w:rFonts w:cs="Arial"/>
          <w:szCs w:val="24"/>
        </w:rPr>
        <w:t>Rulemaker</w:t>
      </w:r>
      <w:proofErr w:type="spellEnd"/>
      <w:r w:rsidRPr="00CF30B8">
        <w:rPr>
          <w:rFonts w:cs="Arial"/>
          <w:szCs w:val="24"/>
        </w:rPr>
        <w:t xml:space="preserve"> could not have contemplated it . . . .’</w:t>
      </w:r>
    </w:p>
    <w:p w:rsidR="0097356F" w:rsidRPr="00CF30B8" w:rsidRDefault="0097356F" w:rsidP="005D3CAE">
      <w:pPr>
        <w:spacing w:before="0" w:after="0"/>
        <w:jc w:val="both"/>
        <w:rPr>
          <w:rFonts w:cs="Arial"/>
          <w:szCs w:val="24"/>
        </w:rPr>
      </w:pPr>
      <w:r w:rsidRPr="00CF30B8">
        <w:rPr>
          <w:rFonts w:cs="Arial"/>
          <w:szCs w:val="24"/>
        </w:rPr>
        <w:lastRenderedPageBreak/>
        <w:t xml:space="preserve">In </w:t>
      </w:r>
      <w:r w:rsidRPr="00CF30B8">
        <w:rPr>
          <w:i/>
          <w:szCs w:val="24"/>
        </w:rPr>
        <w:t xml:space="preserve">Bastian </w:t>
      </w:r>
      <w:r w:rsidRPr="00CF30B8">
        <w:rPr>
          <w:rFonts w:cs="Arial"/>
          <w:i/>
          <w:szCs w:val="24"/>
        </w:rPr>
        <w:t>Financial</w:t>
      </w:r>
      <w:r w:rsidRPr="00CF30B8">
        <w:rPr>
          <w:i/>
          <w:szCs w:val="24"/>
        </w:rPr>
        <w:t xml:space="preserve"> Services (Pty) Ltd v General Hendrik </w:t>
      </w:r>
      <w:proofErr w:type="spellStart"/>
      <w:r w:rsidRPr="00CF30B8">
        <w:rPr>
          <w:i/>
          <w:szCs w:val="24"/>
        </w:rPr>
        <w:t>Schoeman</w:t>
      </w:r>
      <w:proofErr w:type="spellEnd"/>
      <w:r w:rsidRPr="00CF30B8">
        <w:rPr>
          <w:i/>
          <w:szCs w:val="24"/>
        </w:rPr>
        <w:t xml:space="preserve"> Primary School</w:t>
      </w:r>
      <w:r w:rsidRPr="00CF30B8">
        <w:rPr>
          <w:rStyle w:val="FootnoteReference"/>
          <w:i/>
          <w:szCs w:val="24"/>
        </w:rPr>
        <w:footnoteReference w:id="32"/>
      </w:r>
      <w:r w:rsidRPr="00CF30B8">
        <w:rPr>
          <w:rFonts w:cs="Arial"/>
          <w:szCs w:val="24"/>
        </w:rPr>
        <w:t xml:space="preserve"> (para 17) this court  pointed out that it is, however, also a well-established rule of construction that words used in a statute must be interpreted in the light of their context. Van Heerden JA, writing for the majority of this court, referred to </w:t>
      </w:r>
      <w:r w:rsidRPr="00CF30B8">
        <w:rPr>
          <w:i/>
          <w:szCs w:val="24"/>
        </w:rPr>
        <w:t xml:space="preserve">Jaga v </w:t>
      </w:r>
      <w:proofErr w:type="spellStart"/>
      <w:r w:rsidRPr="00CF30B8">
        <w:rPr>
          <w:rFonts w:cs="Arial"/>
          <w:i/>
          <w:szCs w:val="24"/>
        </w:rPr>
        <w:t>Dönges</w:t>
      </w:r>
      <w:proofErr w:type="spellEnd"/>
      <w:r w:rsidRPr="00CF30B8">
        <w:rPr>
          <w:i/>
          <w:szCs w:val="24"/>
        </w:rPr>
        <w:t xml:space="preserve"> NO </w:t>
      </w:r>
      <w:r w:rsidRPr="00CF30B8">
        <w:rPr>
          <w:rFonts w:cs="Arial"/>
          <w:i/>
          <w:szCs w:val="24"/>
        </w:rPr>
        <w:t xml:space="preserve">&amp; another; </w:t>
      </w:r>
      <w:proofErr w:type="spellStart"/>
      <w:r w:rsidRPr="00CF30B8">
        <w:rPr>
          <w:rFonts w:cs="Arial"/>
          <w:i/>
          <w:szCs w:val="24"/>
        </w:rPr>
        <w:t>Bhana</w:t>
      </w:r>
      <w:proofErr w:type="spellEnd"/>
      <w:r w:rsidRPr="00CF30B8">
        <w:rPr>
          <w:rFonts w:cs="Arial"/>
          <w:i/>
          <w:szCs w:val="24"/>
        </w:rPr>
        <w:t xml:space="preserve"> v </w:t>
      </w:r>
      <w:proofErr w:type="spellStart"/>
      <w:r w:rsidRPr="00CF30B8">
        <w:rPr>
          <w:rFonts w:cs="Arial"/>
          <w:i/>
          <w:szCs w:val="24"/>
        </w:rPr>
        <w:t>Dönges</w:t>
      </w:r>
      <w:proofErr w:type="spellEnd"/>
      <w:r w:rsidRPr="00CF30B8">
        <w:rPr>
          <w:rFonts w:cs="Arial"/>
          <w:i/>
          <w:szCs w:val="24"/>
        </w:rPr>
        <w:t xml:space="preserve"> NO &amp; another</w:t>
      </w:r>
      <w:r w:rsidRPr="00CF30B8">
        <w:rPr>
          <w:rFonts w:cs="Arial"/>
          <w:szCs w:val="24"/>
        </w:rPr>
        <w:t xml:space="preserve"> 1950 (4) SA 653 (A) in which Schreiner JA stated (at 662G-H and 664H) that the ‘context’ which informs interpretation:</w:t>
      </w:r>
    </w:p>
    <w:p w:rsidR="00F21F92" w:rsidRDefault="00F21F92" w:rsidP="005D3CAE">
      <w:pPr>
        <w:spacing w:before="0" w:after="0"/>
        <w:jc w:val="both"/>
        <w:rPr>
          <w:rFonts w:cs="Arial"/>
          <w:szCs w:val="24"/>
        </w:rPr>
      </w:pPr>
    </w:p>
    <w:p w:rsidR="0097356F" w:rsidRPr="00CF30B8" w:rsidRDefault="0097356F" w:rsidP="00F21F92">
      <w:pPr>
        <w:spacing w:before="0" w:after="0" w:line="240" w:lineRule="auto"/>
        <w:ind w:left="720"/>
        <w:jc w:val="both"/>
        <w:rPr>
          <w:rFonts w:cs="Arial"/>
          <w:szCs w:val="24"/>
        </w:rPr>
      </w:pPr>
      <w:r w:rsidRPr="00CF30B8">
        <w:rPr>
          <w:rFonts w:cs="Arial"/>
          <w:szCs w:val="24"/>
        </w:rPr>
        <w:t xml:space="preserve">‘. . . </w:t>
      </w:r>
      <w:proofErr w:type="gramStart"/>
      <w:r w:rsidRPr="00CF30B8">
        <w:rPr>
          <w:rFonts w:cs="Arial"/>
          <w:szCs w:val="24"/>
        </w:rPr>
        <w:t>is</w:t>
      </w:r>
      <w:proofErr w:type="gramEnd"/>
      <w:r w:rsidRPr="00CF30B8">
        <w:rPr>
          <w:rFonts w:cs="Arial"/>
          <w:szCs w:val="24"/>
        </w:rPr>
        <w:t xml:space="preserve"> not limited to the language of the rest of the statute regarded as throwing light of a dictionary kind on the part to be interpreted. Often of more importance is the matter of the statute, its apparent scope and purpose, and, within limits, its background.</w:t>
      </w:r>
    </w:p>
    <w:p w:rsidR="0097356F" w:rsidRPr="00CF30B8" w:rsidRDefault="0097356F" w:rsidP="00F21F92">
      <w:pPr>
        <w:spacing w:before="0" w:after="0" w:line="240" w:lineRule="auto"/>
        <w:ind w:firstLine="720"/>
        <w:jc w:val="both"/>
        <w:rPr>
          <w:rFonts w:cs="Arial"/>
          <w:szCs w:val="24"/>
        </w:rPr>
      </w:pPr>
      <w:r w:rsidRPr="00CF30B8">
        <w:rPr>
          <w:rFonts w:cs="Arial"/>
          <w:szCs w:val="24"/>
        </w:rPr>
        <w:t>. . .</w:t>
      </w:r>
    </w:p>
    <w:p w:rsidR="0097356F" w:rsidRPr="00CF30B8" w:rsidRDefault="0097356F" w:rsidP="00F21F92">
      <w:pPr>
        <w:spacing w:before="0" w:after="0" w:line="240" w:lineRule="auto"/>
        <w:ind w:left="720"/>
        <w:jc w:val="both"/>
        <w:rPr>
          <w:rFonts w:cs="Arial"/>
          <w:szCs w:val="24"/>
        </w:rPr>
      </w:pPr>
      <w:r w:rsidRPr="00CF30B8">
        <w:rPr>
          <w:rFonts w:cs="Arial"/>
          <w:szCs w:val="24"/>
        </w:rPr>
        <w:t>(T</w:t>
      </w:r>
      <w:proofErr w:type="gramStart"/>
      <w:r w:rsidRPr="00CF30B8">
        <w:rPr>
          <w:rFonts w:cs="Arial"/>
          <w:szCs w:val="24"/>
        </w:rPr>
        <w:t>)he</w:t>
      </w:r>
      <w:proofErr w:type="gramEnd"/>
      <w:r w:rsidRPr="00CF30B8">
        <w:rPr>
          <w:rFonts w:cs="Arial"/>
          <w:szCs w:val="24"/>
        </w:rPr>
        <w:t xml:space="preserve"> legitimate field of interpretation should not be restricted as a result of an excessive peering at the language to be interpreted without sufficient attention to the contextual scene.’</w:t>
      </w:r>
    </w:p>
    <w:p w:rsidR="00F21F92" w:rsidRDefault="00F21F92"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 xml:space="preserve">This court observed in </w:t>
      </w:r>
      <w:r w:rsidRPr="00CF30B8">
        <w:rPr>
          <w:rFonts w:cs="Arial"/>
          <w:i/>
          <w:szCs w:val="24"/>
        </w:rPr>
        <w:t xml:space="preserve">Natal Joint Municipal Pension Fund v </w:t>
      </w:r>
      <w:proofErr w:type="spellStart"/>
      <w:r w:rsidRPr="00CF30B8">
        <w:rPr>
          <w:i/>
          <w:szCs w:val="24"/>
        </w:rPr>
        <w:t>Endumeni</w:t>
      </w:r>
      <w:proofErr w:type="spellEnd"/>
      <w:r w:rsidRPr="00CF30B8">
        <w:rPr>
          <w:i/>
          <w:szCs w:val="24"/>
        </w:rPr>
        <w:t xml:space="preserve"> </w:t>
      </w:r>
      <w:r w:rsidRPr="00CF30B8">
        <w:rPr>
          <w:rFonts w:cs="Arial"/>
          <w:i/>
          <w:szCs w:val="24"/>
        </w:rPr>
        <w:t>Municipality</w:t>
      </w:r>
      <w:r w:rsidRPr="00CF30B8">
        <w:rPr>
          <w:rFonts w:cs="Arial"/>
          <w:szCs w:val="24"/>
        </w:rPr>
        <w:t>,</w:t>
      </w:r>
      <w:r w:rsidRPr="00CF30B8">
        <w:rPr>
          <w:rStyle w:val="FootnoteReference"/>
          <w:i/>
          <w:szCs w:val="24"/>
        </w:rPr>
        <w:footnoteReference w:id="33"/>
      </w:r>
      <w:r w:rsidRPr="00CF30B8">
        <w:rPr>
          <w:rFonts w:cs="Arial"/>
          <w:szCs w:val="24"/>
        </w:rPr>
        <w:t xml:space="preserve"> that this approach is consistent with the emerging trend in statutory construction and is the approach that courts in South Africa should follow.</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[42]</w:t>
      </w:r>
      <w:r w:rsidRPr="00CF30B8">
        <w:rPr>
          <w:rFonts w:cs="Arial"/>
          <w:szCs w:val="24"/>
        </w:rPr>
        <w:tab/>
        <w:t>Municipalities are obliged by the Act (s 96) to collect moneys that become payable to them for property rates and taxes and for the provision of municipal services in order to ensure that municipal services are provided to the local community in a financially and environmentally sustainable manner. To that end they are required to adopt, maintain and implement a credit-control and debt-collection policy and adopt by-laws that give effect to such policy and its implementation and enforcement.</w:t>
      </w:r>
      <w:r w:rsidRPr="00CF30B8">
        <w:rPr>
          <w:rStyle w:val="FootnoteReference"/>
          <w:szCs w:val="24"/>
        </w:rPr>
        <w:footnoteReference w:id="34"/>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b/>
          <w:szCs w:val="24"/>
        </w:rPr>
      </w:pPr>
      <w:r w:rsidRPr="00CF30B8">
        <w:rPr>
          <w:rFonts w:cs="Arial"/>
          <w:szCs w:val="24"/>
        </w:rPr>
        <w:lastRenderedPageBreak/>
        <w:t>[43]</w:t>
      </w:r>
      <w:r w:rsidRPr="00CF30B8">
        <w:rPr>
          <w:rFonts w:cs="Arial"/>
          <w:szCs w:val="24"/>
        </w:rPr>
        <w:tab/>
        <w:t>It is common cause that as enjoined by s 96 of the Act read with its Credit Control By-Laws,</w:t>
      </w:r>
      <w:r w:rsidRPr="00CF30B8">
        <w:rPr>
          <w:rStyle w:val="FootnoteReference"/>
          <w:szCs w:val="24"/>
        </w:rPr>
        <w:footnoteReference w:id="35"/>
      </w:r>
      <w:r w:rsidRPr="00CF30B8">
        <w:rPr>
          <w:rFonts w:cs="Arial"/>
          <w:szCs w:val="24"/>
        </w:rPr>
        <w:t xml:space="preserve"> the appellant has adopted a Collection Policy: Arrear Debtor Accounts, which specifies its credit-control and debt-collection mechanisms. It has also adopted various by-laws such as the previously mentioned Credit Control By-Laws, as well as Water Supply By-Laws</w:t>
      </w:r>
      <w:r w:rsidRPr="00CF30B8">
        <w:rPr>
          <w:rStyle w:val="FootnoteReference"/>
          <w:szCs w:val="24"/>
        </w:rPr>
        <w:footnoteReference w:id="36"/>
      </w:r>
      <w:r w:rsidRPr="00CF30B8">
        <w:rPr>
          <w:rFonts w:cs="Arial"/>
          <w:szCs w:val="24"/>
        </w:rPr>
        <w:t xml:space="preserve"> and Standard Electricity By-Laws</w:t>
      </w:r>
      <w:r w:rsidRPr="00CF30B8">
        <w:rPr>
          <w:rStyle w:val="FootnoteReference"/>
          <w:szCs w:val="24"/>
        </w:rPr>
        <w:footnoteReference w:id="37"/>
      </w:r>
      <w:r w:rsidRPr="00CF30B8">
        <w:rPr>
          <w:rFonts w:cs="Arial"/>
          <w:szCs w:val="24"/>
        </w:rPr>
        <w:t xml:space="preserve"> regulating inter alia the supply of municipal services, payment for such services and termination of supply of municipal services. </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[44]</w:t>
      </w:r>
      <w:r w:rsidRPr="00CF30B8">
        <w:rPr>
          <w:rFonts w:cs="Arial"/>
          <w:szCs w:val="24"/>
        </w:rPr>
        <w:tab/>
        <w:t xml:space="preserve">Section 118 of the Act is another statutory instrument that was enacted in order to assist municipalities in collecting moneys due to them. It does so by providing them with two distinct remedies which are contained in </w:t>
      </w:r>
      <w:proofErr w:type="spellStart"/>
      <w:r w:rsidRPr="00CF30B8">
        <w:rPr>
          <w:rFonts w:cs="Arial"/>
          <w:szCs w:val="24"/>
        </w:rPr>
        <w:t>subsecs</w:t>
      </w:r>
      <w:proofErr w:type="spellEnd"/>
      <w:r w:rsidRPr="00CF30B8">
        <w:rPr>
          <w:rFonts w:cs="Arial"/>
          <w:szCs w:val="24"/>
        </w:rPr>
        <w:t xml:space="preserve"> (1) and (3). In </w:t>
      </w:r>
      <w:r w:rsidRPr="00CF30B8">
        <w:rPr>
          <w:rFonts w:cs="Arial"/>
          <w:i/>
          <w:szCs w:val="24"/>
        </w:rPr>
        <w:t>BOE Bank Ltd v Tshwane Metropolitan Municipality</w:t>
      </w:r>
      <w:r w:rsidRPr="00CF30B8">
        <w:rPr>
          <w:rFonts w:cs="Arial"/>
          <w:szCs w:val="24"/>
        </w:rPr>
        <w:t>,</w:t>
      </w:r>
      <w:r w:rsidRPr="00CF30B8">
        <w:rPr>
          <w:rStyle w:val="FootnoteReference"/>
          <w:szCs w:val="24"/>
        </w:rPr>
        <w:footnoteReference w:id="38"/>
      </w:r>
      <w:r w:rsidRPr="00CF30B8">
        <w:rPr>
          <w:rFonts w:cs="Arial"/>
          <w:szCs w:val="24"/>
        </w:rPr>
        <w:t xml:space="preserve"> this court pointed out that the s 118(1) remedy is a ‘veto’ or ‘embargo’ provision, affording a municipality a right to refuse to issue a clearance certificate unless all municipal debts for the preceding two years have been settled in full. If the certificate is not issued, the Registrar of Deeds may not register the transfer of the property. The veto provision does not, however, automatically render a municipality’s claim </w:t>
      </w:r>
      <w:proofErr w:type="spellStart"/>
      <w:r w:rsidRPr="00CF30B8">
        <w:rPr>
          <w:rFonts w:cs="Arial"/>
          <w:szCs w:val="24"/>
        </w:rPr>
        <w:t>preferent</w:t>
      </w:r>
      <w:proofErr w:type="spellEnd"/>
      <w:r w:rsidRPr="00CF30B8">
        <w:rPr>
          <w:rFonts w:cs="Arial"/>
          <w:szCs w:val="24"/>
        </w:rPr>
        <w:t xml:space="preserve"> to that of an existing mortgagee in the case of sale in execution.</w:t>
      </w:r>
      <w:r w:rsidRPr="00CF30B8">
        <w:rPr>
          <w:rStyle w:val="FootnoteReference"/>
          <w:szCs w:val="24"/>
        </w:rPr>
        <w:footnoteReference w:id="39"/>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[45]</w:t>
      </w:r>
      <w:r w:rsidRPr="00CF30B8">
        <w:rPr>
          <w:rFonts w:cs="Arial"/>
          <w:szCs w:val="24"/>
        </w:rPr>
        <w:tab/>
        <w:t>The s 118(3) remedy, a tacit statutory hypothec, caters for this eventuality. It creates in favour of a municipality a security for the payment of the prescribed municipal debts so that a municipality enjoys preference over a registered mortgage bond on the proceeds of property.</w:t>
      </w:r>
      <w:r w:rsidRPr="00CF30B8">
        <w:rPr>
          <w:rStyle w:val="FootnoteReference"/>
          <w:szCs w:val="24"/>
        </w:rPr>
        <w:footnoteReference w:id="40"/>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lastRenderedPageBreak/>
        <w:t>[46]</w:t>
      </w:r>
      <w:r w:rsidRPr="00CF30B8">
        <w:rPr>
          <w:rFonts w:cs="Arial"/>
          <w:szCs w:val="24"/>
        </w:rPr>
        <w:tab/>
        <w:t xml:space="preserve">Sections 118(1) and (3) are not novel. They can be traced back to the pre-1994 provincial ordinances. For instance s 50 of the Transvaal Local Government Ordinance 17 of 1939 provided for both a veto and a hypothec akin to those in </w:t>
      </w:r>
      <w:proofErr w:type="spellStart"/>
      <w:r w:rsidRPr="00CF30B8">
        <w:rPr>
          <w:rFonts w:cs="Arial"/>
          <w:szCs w:val="24"/>
        </w:rPr>
        <w:t>ss</w:t>
      </w:r>
      <w:proofErr w:type="spellEnd"/>
      <w:r w:rsidR="00A61B82" w:rsidRPr="00CF30B8">
        <w:rPr>
          <w:rFonts w:cs="Arial"/>
          <w:szCs w:val="24"/>
        </w:rPr>
        <w:t> </w:t>
      </w:r>
      <w:r w:rsidRPr="00CF30B8">
        <w:rPr>
          <w:rFonts w:cs="Arial"/>
          <w:szCs w:val="24"/>
        </w:rPr>
        <w:t>118(1) and (3) respectively. Section 50(1) of the Ordinance</w:t>
      </w:r>
      <w:r w:rsidRPr="00CF30B8">
        <w:rPr>
          <w:rStyle w:val="FootnoteReference"/>
          <w:szCs w:val="24"/>
        </w:rPr>
        <w:footnoteReference w:id="41"/>
      </w:r>
      <w:r w:rsidRPr="00CF30B8">
        <w:rPr>
          <w:rFonts w:cs="Arial"/>
          <w:szCs w:val="24"/>
        </w:rPr>
        <w:t xml:space="preserve"> was a veto provision and s 50(3)</w:t>
      </w:r>
      <w:r w:rsidRPr="00CF30B8">
        <w:rPr>
          <w:rStyle w:val="FootnoteReference"/>
          <w:szCs w:val="24"/>
        </w:rPr>
        <w:footnoteReference w:id="42"/>
      </w:r>
      <w:r w:rsidRPr="00CF30B8">
        <w:rPr>
          <w:rFonts w:cs="Arial"/>
          <w:szCs w:val="24"/>
        </w:rPr>
        <w:t xml:space="preserve"> equated municipal debts recoverable by invoking the veto as remedy and debts as constituting a hypothec. But unlike the provision of s 118(1) of the Act, which has a two year period limit the s 50(1) amounts were required to have occurred over a three-year period prior to the registration of the property in respect of which the clearance certificate was required. The s 50(3) amounts were subject to the same time restriction. The s 118(3) amounts are not subject to a time limit.</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[47]</w:t>
      </w:r>
      <w:r w:rsidRPr="00CF30B8">
        <w:rPr>
          <w:rFonts w:cs="Arial"/>
          <w:szCs w:val="24"/>
        </w:rPr>
        <w:tab/>
        <w:t xml:space="preserve">This court in </w:t>
      </w:r>
      <w:r w:rsidRPr="00CF30B8">
        <w:rPr>
          <w:rFonts w:cs="Arial"/>
          <w:i/>
          <w:szCs w:val="24"/>
        </w:rPr>
        <w:t xml:space="preserve">City of Johannesburg v Kaplan </w:t>
      </w:r>
      <w:r w:rsidRPr="00CF30B8">
        <w:rPr>
          <w:rFonts w:cs="Arial"/>
          <w:szCs w:val="24"/>
        </w:rPr>
        <w:t>(para 26.2) summarised the operation of s 118(3) in situations where the municipal debtor is not subject to a sequestration or liquidation order as follows:</w:t>
      </w:r>
    </w:p>
    <w:p w:rsidR="00F21F92" w:rsidRDefault="00F21F92" w:rsidP="005D3CAE">
      <w:pPr>
        <w:spacing w:before="0" w:after="0"/>
        <w:jc w:val="both"/>
        <w:rPr>
          <w:rFonts w:cs="Arial"/>
          <w:szCs w:val="24"/>
        </w:rPr>
      </w:pPr>
    </w:p>
    <w:p w:rsidR="0097356F" w:rsidRPr="00CF30B8" w:rsidRDefault="0097356F" w:rsidP="00F21F92">
      <w:pPr>
        <w:spacing w:before="0" w:after="0" w:line="240" w:lineRule="auto"/>
        <w:ind w:left="720"/>
        <w:jc w:val="both"/>
        <w:rPr>
          <w:rFonts w:cs="Arial"/>
          <w:szCs w:val="24"/>
        </w:rPr>
      </w:pPr>
      <w:r w:rsidRPr="00CF30B8">
        <w:rPr>
          <w:rFonts w:cs="Arial"/>
          <w:szCs w:val="24"/>
        </w:rPr>
        <w:t>‘Any amount due for municipal debts (</w:t>
      </w:r>
      <w:proofErr w:type="spellStart"/>
      <w:r w:rsidRPr="00CF30B8">
        <w:rPr>
          <w:rFonts w:cs="Arial"/>
          <w:szCs w:val="24"/>
        </w:rPr>
        <w:t>ie</w:t>
      </w:r>
      <w:proofErr w:type="spellEnd"/>
      <w:r w:rsidRPr="00CF30B8">
        <w:rPr>
          <w:rFonts w:cs="Arial"/>
          <w:szCs w:val="24"/>
        </w:rPr>
        <w:t xml:space="preserve"> not limited by the aforesaid period of two years) that have not prescribed </w:t>
      </w:r>
      <w:proofErr w:type="gramStart"/>
      <w:r w:rsidRPr="00CF30B8">
        <w:rPr>
          <w:rFonts w:cs="Arial"/>
          <w:szCs w:val="24"/>
        </w:rPr>
        <w:t>is</w:t>
      </w:r>
      <w:proofErr w:type="gramEnd"/>
      <w:r w:rsidRPr="00CF30B8">
        <w:rPr>
          <w:rFonts w:cs="Arial"/>
          <w:szCs w:val="24"/>
        </w:rPr>
        <w:t xml:space="preserve"> secured by the property and, if not paid and an appropriate order of court is obtained, the property may be sold in execution and the proceeds applied in payment of the debts. In such event, the proceeds will be applied to payment of the municipal debts in full. Only </w:t>
      </w:r>
      <w:r w:rsidRPr="00CF30B8">
        <w:rPr>
          <w:rFonts w:cs="Arial"/>
          <w:szCs w:val="24"/>
        </w:rPr>
        <w:lastRenderedPageBreak/>
        <w:t xml:space="preserve">after </w:t>
      </w:r>
      <w:proofErr w:type="gramStart"/>
      <w:r w:rsidRPr="00CF30B8">
        <w:rPr>
          <w:rFonts w:cs="Arial"/>
          <w:szCs w:val="24"/>
        </w:rPr>
        <w:t>satisfaction of such debts will</w:t>
      </w:r>
      <w:proofErr w:type="gramEnd"/>
      <w:r w:rsidRPr="00CF30B8">
        <w:rPr>
          <w:rFonts w:cs="Arial"/>
          <w:szCs w:val="24"/>
        </w:rPr>
        <w:t xml:space="preserve"> the remainder, if any, be available for payment of the debt secured by a mortgage bond over the property.’</w:t>
      </w:r>
    </w:p>
    <w:p w:rsidR="0097356F" w:rsidRPr="00CF30B8" w:rsidRDefault="0097356F" w:rsidP="005D3CAE">
      <w:pPr>
        <w:spacing w:before="0" w:after="0"/>
        <w:jc w:val="both"/>
        <w:rPr>
          <w:szCs w:val="24"/>
        </w:rPr>
      </w:pPr>
    </w:p>
    <w:p w:rsidR="0097356F" w:rsidRPr="00CF30B8" w:rsidRDefault="0097356F" w:rsidP="005D3CAE">
      <w:pPr>
        <w:spacing w:before="0" w:after="0"/>
        <w:jc w:val="both"/>
        <w:rPr>
          <w:szCs w:val="24"/>
        </w:rPr>
      </w:pPr>
      <w:r w:rsidRPr="00CF30B8">
        <w:rPr>
          <w:rFonts w:cs="Arial"/>
          <w:szCs w:val="24"/>
        </w:rPr>
        <w:t>[48]</w:t>
      </w:r>
      <w:r w:rsidRPr="00CF30B8">
        <w:rPr>
          <w:rFonts w:cs="Arial"/>
          <w:szCs w:val="24"/>
        </w:rPr>
        <w:tab/>
      </w:r>
      <w:r w:rsidRPr="00CF30B8">
        <w:rPr>
          <w:szCs w:val="24"/>
        </w:rPr>
        <w:t>Section 118(3) does not state what happens to the security when the property over which it was created is sold in execution of a judgment against the judgment debtor at the instance of an execution creditor. Does it survive transfer or does it terminate? At first glance the wording of s 118(3) appears to be sufficiently broad and general to cover such a situation but on its proper analysis it becomes clear that the subsection does not protect the security once the property over which it was created is sold in execution. It is the proceeds of sale that secures the payment of outstanding municipal debts</w:t>
      </w:r>
      <w:r w:rsidRPr="00CF30B8">
        <w:rPr>
          <w:rFonts w:cs="Arial"/>
          <w:szCs w:val="24"/>
        </w:rPr>
        <w:t>,</w:t>
      </w:r>
      <w:r w:rsidRPr="00CF30B8">
        <w:rPr>
          <w:szCs w:val="24"/>
        </w:rPr>
        <w:t xml:space="preserve"> and the municipality must be paid in full before any mortgagee is paid because its debts, provided that they have not become prescribed, enjoy preference over any mortgage bond.</w:t>
      </w:r>
    </w:p>
    <w:p w:rsidR="0097356F" w:rsidRPr="00CF30B8" w:rsidRDefault="0097356F" w:rsidP="005D3CAE">
      <w:pPr>
        <w:spacing w:before="0" w:after="0"/>
        <w:jc w:val="both"/>
        <w:rPr>
          <w:szCs w:val="24"/>
        </w:rPr>
      </w:pPr>
    </w:p>
    <w:p w:rsidR="0097356F" w:rsidRPr="00CF30B8" w:rsidRDefault="0097356F" w:rsidP="005D3CAE">
      <w:pPr>
        <w:spacing w:before="0" w:after="0"/>
        <w:jc w:val="both"/>
        <w:rPr>
          <w:rFonts w:cs="Arial"/>
          <w:szCs w:val="24"/>
        </w:rPr>
      </w:pPr>
      <w:r w:rsidRPr="00CF30B8">
        <w:rPr>
          <w:rFonts w:cs="Arial"/>
          <w:szCs w:val="24"/>
        </w:rPr>
        <w:t>[49]</w:t>
      </w:r>
      <w:r w:rsidRPr="00CF30B8">
        <w:rPr>
          <w:rFonts w:cs="Arial"/>
          <w:szCs w:val="24"/>
        </w:rPr>
        <w:tab/>
        <w:t xml:space="preserve">In my view this construction is consistent with the common law. According to </w:t>
      </w:r>
      <w:proofErr w:type="spellStart"/>
      <w:r w:rsidRPr="00CF30B8">
        <w:rPr>
          <w:rFonts w:cs="Arial"/>
          <w:szCs w:val="24"/>
        </w:rPr>
        <w:t>Voet</w:t>
      </w:r>
      <w:proofErr w:type="spellEnd"/>
      <w:r w:rsidRPr="00CF30B8">
        <w:rPr>
          <w:rFonts w:cs="Arial"/>
          <w:szCs w:val="24"/>
        </w:rPr>
        <w:t xml:space="preserve"> 20.1.13,</w:t>
      </w:r>
      <w:r w:rsidRPr="00CF30B8">
        <w:rPr>
          <w:rStyle w:val="FootnoteReference"/>
          <w:szCs w:val="24"/>
        </w:rPr>
        <w:footnoteReference w:id="43"/>
      </w:r>
      <w:r w:rsidRPr="00CF30B8">
        <w:rPr>
          <w:rFonts w:cs="Arial"/>
          <w:szCs w:val="24"/>
        </w:rPr>
        <w:t xml:space="preserve"> </w:t>
      </w:r>
      <w:proofErr w:type="spellStart"/>
      <w:r w:rsidRPr="00CF30B8">
        <w:rPr>
          <w:rFonts w:cs="Arial"/>
          <w:szCs w:val="24"/>
        </w:rPr>
        <w:t>immovables</w:t>
      </w:r>
      <w:proofErr w:type="spellEnd"/>
      <w:r w:rsidRPr="00CF30B8">
        <w:rPr>
          <w:rFonts w:cs="Arial"/>
          <w:szCs w:val="24"/>
        </w:rPr>
        <w:t xml:space="preserve"> subject to a special hypothec generally pass subject to their burden, ‘whether they have been transferred by onerous or lucrative title to another and whether that other is aware or unaware of the burden on the property’. However, according to him there were exceptions to this general rule and one of them was:</w:t>
      </w:r>
    </w:p>
    <w:p w:rsidR="00F21F92" w:rsidRDefault="00F21F92" w:rsidP="005D3CAE">
      <w:pPr>
        <w:spacing w:before="0" w:after="0"/>
        <w:jc w:val="both"/>
        <w:rPr>
          <w:rFonts w:cs="Arial"/>
          <w:szCs w:val="24"/>
        </w:rPr>
      </w:pPr>
    </w:p>
    <w:p w:rsidR="0097356F" w:rsidRPr="00CF30B8" w:rsidRDefault="0097356F" w:rsidP="00F21F92">
      <w:pPr>
        <w:spacing w:before="0" w:after="0" w:line="240" w:lineRule="auto"/>
        <w:ind w:left="720"/>
        <w:jc w:val="both"/>
        <w:rPr>
          <w:rFonts w:cs="Arial"/>
          <w:szCs w:val="24"/>
        </w:rPr>
      </w:pPr>
      <w:r w:rsidRPr="00CF30B8">
        <w:rPr>
          <w:rFonts w:cs="Arial"/>
          <w:szCs w:val="24"/>
        </w:rPr>
        <w:t xml:space="preserve">‘. . . </w:t>
      </w:r>
      <w:proofErr w:type="gramStart"/>
      <w:r w:rsidRPr="00CF30B8">
        <w:rPr>
          <w:rFonts w:cs="Arial"/>
          <w:szCs w:val="24"/>
        </w:rPr>
        <w:t>when</w:t>
      </w:r>
      <w:proofErr w:type="gramEnd"/>
      <w:r w:rsidRPr="00CF30B8">
        <w:rPr>
          <w:rFonts w:cs="Arial"/>
          <w:szCs w:val="24"/>
        </w:rPr>
        <w:t xml:space="preserve"> mortgaged properties have been sold and delivered on the petition of creditors by order of a judge with employment of the formalities of the spear, and creditors holding a hypothec have kept silent. Nevertheless by our customs in such a case the price takes the place of the </w:t>
      </w:r>
      <w:proofErr w:type="gramStart"/>
      <w:r w:rsidRPr="00CF30B8">
        <w:rPr>
          <w:rFonts w:cs="Arial"/>
          <w:szCs w:val="24"/>
        </w:rPr>
        <w:t>thing,</w:t>
      </w:r>
      <w:proofErr w:type="gramEnd"/>
      <w:r w:rsidRPr="00CF30B8">
        <w:rPr>
          <w:rFonts w:cs="Arial"/>
          <w:szCs w:val="24"/>
        </w:rPr>
        <w:t xml:space="preserve"> and a </w:t>
      </w:r>
      <w:proofErr w:type="spellStart"/>
      <w:r w:rsidRPr="00CF30B8">
        <w:rPr>
          <w:rFonts w:cs="Arial"/>
          <w:szCs w:val="24"/>
        </w:rPr>
        <w:t>hypothecary</w:t>
      </w:r>
      <w:proofErr w:type="spellEnd"/>
      <w:r w:rsidRPr="00CF30B8">
        <w:rPr>
          <w:rFonts w:cs="Arial"/>
          <w:szCs w:val="24"/>
        </w:rPr>
        <w:t xml:space="preserve"> creditor is permitted to contest with the rest of the creditors the privilege of preference over the price of the mortgaged property.’</w:t>
      </w:r>
      <w:r w:rsidRPr="00CF30B8">
        <w:rPr>
          <w:rStyle w:val="FootnoteReference"/>
          <w:szCs w:val="24"/>
        </w:rPr>
        <w:footnoteReference w:id="44"/>
      </w:r>
      <w:r w:rsidRPr="00CF30B8">
        <w:rPr>
          <w:rFonts w:cs="Arial"/>
          <w:szCs w:val="24"/>
        </w:rPr>
        <w:t xml:space="preserve"> (</w:t>
      </w:r>
      <w:proofErr w:type="gramStart"/>
      <w:r w:rsidRPr="00CF30B8">
        <w:rPr>
          <w:rFonts w:cs="Arial"/>
          <w:szCs w:val="24"/>
        </w:rPr>
        <w:t>footnote</w:t>
      </w:r>
      <w:proofErr w:type="gramEnd"/>
      <w:r w:rsidRPr="00CF30B8">
        <w:rPr>
          <w:rFonts w:cs="Arial"/>
          <w:szCs w:val="24"/>
        </w:rPr>
        <w:t xml:space="preserve"> omitted.)</w:t>
      </w:r>
    </w:p>
    <w:p w:rsidR="0097356F" w:rsidRPr="00CF30B8" w:rsidRDefault="0097356F" w:rsidP="005D3CAE">
      <w:pPr>
        <w:spacing w:before="0" w:after="0"/>
        <w:jc w:val="both"/>
        <w:rPr>
          <w:szCs w:val="24"/>
        </w:rPr>
      </w:pPr>
    </w:p>
    <w:p w:rsidR="0097356F" w:rsidRPr="00CF30B8" w:rsidRDefault="0097356F" w:rsidP="005D3CAE">
      <w:pPr>
        <w:spacing w:before="0" w:after="0"/>
        <w:jc w:val="both"/>
        <w:rPr>
          <w:rFonts w:cs="Arial"/>
          <w:szCs w:val="24"/>
        </w:rPr>
      </w:pPr>
      <w:r w:rsidRPr="00CF30B8">
        <w:rPr>
          <w:rFonts w:cs="Arial"/>
          <w:szCs w:val="24"/>
        </w:rPr>
        <w:t>[50]</w:t>
      </w:r>
      <w:r w:rsidRPr="00CF30B8">
        <w:rPr>
          <w:rFonts w:cs="Arial"/>
          <w:szCs w:val="24"/>
        </w:rPr>
        <w:tab/>
        <w:t xml:space="preserve">It therefore seems to me that under the common law the burden on a property does not survive the transfer of the property from one person to another where such transfer takes place pursuant to a sale in execution and the creditors holding a hypothec  ‘have kept silent’. In other words, purchasers who obtained transfer of the burdened property pursuant to a sale in execution obtained a free title. </w:t>
      </w:r>
      <w:proofErr w:type="spellStart"/>
      <w:r w:rsidRPr="00CF30B8">
        <w:rPr>
          <w:rFonts w:cs="Arial"/>
          <w:i/>
          <w:szCs w:val="24"/>
        </w:rPr>
        <w:t>Mathabathe</w:t>
      </w:r>
      <w:proofErr w:type="spellEnd"/>
      <w:r w:rsidRPr="00CF30B8">
        <w:rPr>
          <w:rFonts w:cs="Arial"/>
          <w:szCs w:val="24"/>
        </w:rPr>
        <w:t xml:space="preserve"> </w:t>
      </w:r>
      <w:r w:rsidRPr="00CF30B8">
        <w:rPr>
          <w:rFonts w:cs="Arial"/>
          <w:szCs w:val="24"/>
        </w:rPr>
        <w:lastRenderedPageBreak/>
        <w:t>did not concern a sale in execution. It dealt with the transfer of immovable property pursuant to a private sale and therefore what is stated in para 12 of that judgment must be understood in that context, and cannot provide support for the contention that the burden on the property survives the transfer irrespective of the nature of the sale giving rise to that transfer.</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[51]</w:t>
      </w:r>
      <w:r w:rsidRPr="00CF30B8">
        <w:rPr>
          <w:rFonts w:cs="Arial"/>
          <w:szCs w:val="24"/>
        </w:rPr>
        <w:tab/>
        <w:t>In my view the roots of s 118(3) are firmly attached to the common law and should for that reason be interpreted in a manner that is harmonious with the common law if possible. And it is possible to do so, and there are no indications that it was plainly intended to alter the common law.</w:t>
      </w:r>
      <w:r w:rsidRPr="00CF30B8">
        <w:rPr>
          <w:rStyle w:val="FootnoteReference"/>
          <w:szCs w:val="24"/>
        </w:rPr>
        <w:footnoteReference w:id="45"/>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b/>
          <w:szCs w:val="24"/>
        </w:rPr>
      </w:pPr>
      <w:r w:rsidRPr="00CF30B8">
        <w:rPr>
          <w:rFonts w:cs="Arial"/>
          <w:szCs w:val="24"/>
        </w:rPr>
        <w:t>[52]</w:t>
      </w:r>
      <w:r w:rsidRPr="00CF30B8">
        <w:rPr>
          <w:rFonts w:cs="Arial"/>
          <w:szCs w:val="24"/>
        </w:rPr>
        <w:tab/>
        <w:t xml:space="preserve">The legislature must be taken to have been aware of the position under the common law regarding the fate of security over property when such property is transferred pursuant to a sale in execution. If it had been intended that the security created by s 118(3) in favour of the municipality for the payment of its historical debt should continue to exist even beyond its sale in execution one would have expected the legislature to have used precise and definite language to give effect to that intention. And the fact that no such language occurs in s 118(3) is a strong argument in favour of the view that the common law rights of the owners – to obtain a clean title – who obtain transfer of the burdened property through a sale in execution were not taken away. In my view this is a sensible meaning of s 118(3). It does not undermine the purpose for which the subsection was enacted, namely to provide a mechanism for municipalities which assists them in collecting historical debts that become payable to them, which is one of the obligations imposed upon them by the Act.  </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[53]</w:t>
      </w:r>
      <w:r w:rsidRPr="00CF30B8">
        <w:rPr>
          <w:rFonts w:cs="Arial"/>
          <w:szCs w:val="24"/>
        </w:rPr>
        <w:tab/>
        <w:t>It is clear from s 118(3) and other statutory provisions which pre-date it that their purpose is to create in favour of a municipality a security over immovable property for the payment of the historical debt owing to it in connection with that property, and to ensure in the case of a sale in execution that it enjoys preference over a registered mortgage bond on the proceeds of the property.</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b/>
          <w:szCs w:val="24"/>
        </w:rPr>
      </w:pPr>
      <w:r w:rsidRPr="00CF30B8">
        <w:rPr>
          <w:rFonts w:cs="Arial"/>
          <w:szCs w:val="24"/>
        </w:rPr>
        <w:lastRenderedPageBreak/>
        <w:t>[54]</w:t>
      </w:r>
      <w:r w:rsidRPr="00CF30B8">
        <w:rPr>
          <w:rFonts w:cs="Arial"/>
          <w:szCs w:val="24"/>
        </w:rPr>
        <w:tab/>
        <w:t>Rule 46(5</w:t>
      </w:r>
      <w:proofErr w:type="gramStart"/>
      <w:r w:rsidRPr="00CF30B8">
        <w:rPr>
          <w:rFonts w:cs="Arial"/>
          <w:szCs w:val="24"/>
        </w:rPr>
        <w:t>)(</w:t>
      </w:r>
      <w:proofErr w:type="gramEnd"/>
      <w:r w:rsidRPr="00CF30B8">
        <w:rPr>
          <w:rFonts w:cs="Arial"/>
          <w:szCs w:val="24"/>
        </w:rPr>
        <w:t>a) of the Uniform Rules of Court,</w:t>
      </w:r>
      <w:r w:rsidRPr="00CF30B8">
        <w:rPr>
          <w:rStyle w:val="FootnoteReference"/>
          <w:szCs w:val="24"/>
        </w:rPr>
        <w:footnoteReference w:id="46"/>
      </w:r>
      <w:r w:rsidRPr="00CF30B8">
        <w:rPr>
          <w:rFonts w:cs="Arial"/>
          <w:szCs w:val="24"/>
        </w:rPr>
        <w:t xml:space="preserve"> the statutory provision governing sales in execution of immovable property imposes an obligation on the execution creditor intending to sell the property in execution to notify the municipality, in whose area the property concerned is located, of the intended sale and to call upon it to stipulate within the prescribed period before the date of sale a reasonable reserve price or to agree in writing to a sale without reserve. The rule also requires the sheriff to be provided with proof before proceeding with the sale that the municipality has stipulated a reserve price or agreed to a sale without reserve. It therefore provides sufficient and adequate protection to a municipality in the event that a property in connection with which historical debts </w:t>
      </w:r>
      <w:proofErr w:type="gramStart"/>
      <w:r w:rsidRPr="00CF30B8">
        <w:rPr>
          <w:rFonts w:cs="Arial"/>
          <w:szCs w:val="24"/>
        </w:rPr>
        <w:t>are owing</w:t>
      </w:r>
      <w:proofErr w:type="gramEnd"/>
      <w:r w:rsidRPr="00CF30B8">
        <w:rPr>
          <w:rFonts w:cs="Arial"/>
          <w:szCs w:val="24"/>
        </w:rPr>
        <w:t xml:space="preserve">, is sold in execution. The rule in effect obliges a municipality to ensure that it recovers from the proceeds of sale all historical debts owing to it in connection with a property before that property is transferred so that a purchaser would, upon its transfer to him or her, receive a clean title. </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[55]</w:t>
      </w:r>
      <w:r w:rsidRPr="00CF30B8">
        <w:rPr>
          <w:rFonts w:cs="Arial"/>
          <w:szCs w:val="24"/>
        </w:rPr>
        <w:tab/>
        <w:t xml:space="preserve">In my view, looking at the provisions of s 118 as a whole, and having regard to the provisions of the common law, I come to the conclusion that the legislature in enacting s 118(3) did not intend the duration of the security it confers on a municipality over a property for the payment of historical debts in connection with that property to extend beyond transfer of such property where such transfer occurs pursuant to a sale in execution. </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[56]</w:t>
      </w:r>
      <w:r w:rsidRPr="00CF30B8">
        <w:rPr>
          <w:rFonts w:cs="Arial"/>
          <w:szCs w:val="24"/>
        </w:rPr>
        <w:tab/>
        <w:t xml:space="preserve">I conclude therefore that the burden on the property terminates when the property is transferred to the new owner pursuant to a sale in execution. In the light of the conclusion I have reached on the construction of s 118(3) it becomes unnecessary to consider whether the appellant’s by-laws entitle it to refuse to provide </w:t>
      </w:r>
      <w:r w:rsidRPr="00CF30B8">
        <w:rPr>
          <w:rFonts w:cs="Arial"/>
          <w:szCs w:val="24"/>
        </w:rPr>
        <w:lastRenderedPageBreak/>
        <w:t>municipal services to the new owner who takes transfer of property pursuant to a sale in execution only because of an outstanding historical debt.</w:t>
      </w:r>
    </w:p>
    <w:p w:rsidR="0097356F" w:rsidRPr="00CF30B8" w:rsidRDefault="0097356F" w:rsidP="005D3CAE">
      <w:pPr>
        <w:spacing w:before="0" w:after="0"/>
        <w:jc w:val="both"/>
        <w:rPr>
          <w:rFonts w:cs="Arial"/>
          <w:szCs w:val="24"/>
        </w:rPr>
      </w:pPr>
    </w:p>
    <w:p w:rsidR="0097356F" w:rsidRPr="00CF30B8" w:rsidRDefault="0097356F" w:rsidP="005D3CAE">
      <w:pPr>
        <w:spacing w:before="0" w:after="0"/>
        <w:jc w:val="both"/>
        <w:rPr>
          <w:rFonts w:cs="Arial"/>
          <w:szCs w:val="24"/>
        </w:rPr>
      </w:pPr>
      <w:r w:rsidRPr="00CF30B8">
        <w:rPr>
          <w:rFonts w:cs="Arial"/>
          <w:szCs w:val="24"/>
        </w:rPr>
        <w:t>[57]</w:t>
      </w:r>
      <w:r w:rsidRPr="00CF30B8">
        <w:rPr>
          <w:rFonts w:cs="Arial"/>
          <w:szCs w:val="24"/>
        </w:rPr>
        <w:tab/>
        <w:t>It follows that, in my view, the appeal should fail. With regards to costs, for the reasons set out in paragraph [27] of the judgment, I agree that there should be no order as to costs.</w:t>
      </w:r>
    </w:p>
    <w:p w:rsidR="0097356F" w:rsidRPr="00CF30B8" w:rsidRDefault="0097356F" w:rsidP="005D3CAE">
      <w:pPr>
        <w:spacing w:before="0" w:after="0"/>
        <w:jc w:val="both"/>
        <w:rPr>
          <w:rFonts w:cs="Arial"/>
          <w:szCs w:val="24"/>
        </w:rPr>
      </w:pPr>
    </w:p>
    <w:p w:rsidR="0097356F" w:rsidRPr="00AE4758" w:rsidRDefault="0097356F" w:rsidP="00AE4758">
      <w:pPr>
        <w:spacing w:before="0" w:after="0"/>
        <w:jc w:val="both"/>
        <w:rPr>
          <w:rFonts w:cs="Arial"/>
          <w:b/>
          <w:szCs w:val="24"/>
        </w:rPr>
      </w:pPr>
      <w:r w:rsidRPr="00CF30B8">
        <w:rPr>
          <w:rFonts w:cs="Arial"/>
          <w:szCs w:val="24"/>
        </w:rPr>
        <w:t>[58]</w:t>
      </w:r>
      <w:r w:rsidRPr="00CF30B8">
        <w:rPr>
          <w:rFonts w:cs="Arial"/>
          <w:szCs w:val="24"/>
        </w:rPr>
        <w:tab/>
        <w:t>In the result I would dismiss the appeal with no order as to costs.</w:t>
      </w:r>
    </w:p>
    <w:p w:rsidR="005D3CAE" w:rsidRPr="00CF30B8" w:rsidRDefault="005D3CAE" w:rsidP="0097356F">
      <w:pPr>
        <w:spacing w:before="0" w:after="0"/>
        <w:jc w:val="right"/>
        <w:rPr>
          <w:rFonts w:cs="Arial"/>
          <w:szCs w:val="24"/>
          <w:lang w:val="en-GB"/>
        </w:rPr>
      </w:pPr>
    </w:p>
    <w:p w:rsidR="00AE4758" w:rsidRDefault="00AE4758" w:rsidP="007211CC">
      <w:pPr>
        <w:spacing w:before="0" w:after="0"/>
        <w:rPr>
          <w:rFonts w:cs="Arial"/>
          <w:szCs w:val="24"/>
          <w:lang w:val="en-GB"/>
        </w:rPr>
      </w:pPr>
    </w:p>
    <w:p w:rsidR="0097356F" w:rsidRPr="00CF30B8" w:rsidRDefault="0097356F" w:rsidP="007211CC">
      <w:pPr>
        <w:spacing w:before="0" w:after="0"/>
        <w:rPr>
          <w:rFonts w:cs="Arial"/>
          <w:szCs w:val="24"/>
          <w:lang w:val="en-GB"/>
        </w:rPr>
      </w:pPr>
      <w:r w:rsidRPr="00CF30B8">
        <w:rPr>
          <w:rFonts w:cs="Arial"/>
          <w:szCs w:val="24"/>
          <w:lang w:val="en-GB"/>
        </w:rPr>
        <w:t>D H Zondi</w:t>
      </w:r>
    </w:p>
    <w:p w:rsidR="0097356F" w:rsidRPr="00CF30B8" w:rsidRDefault="0097356F" w:rsidP="007211CC">
      <w:pPr>
        <w:spacing w:before="0" w:after="0"/>
        <w:rPr>
          <w:rFonts w:cs="Arial"/>
          <w:szCs w:val="24"/>
          <w:lang w:val="en-GB"/>
        </w:rPr>
      </w:pPr>
      <w:r w:rsidRPr="00CF30B8">
        <w:rPr>
          <w:rFonts w:cs="Arial"/>
          <w:szCs w:val="24"/>
          <w:lang w:val="en-GB"/>
        </w:rPr>
        <w:t>Judge of Appeal</w:t>
      </w:r>
    </w:p>
    <w:p w:rsidR="0097356F" w:rsidRPr="00CF30B8" w:rsidRDefault="0097356F" w:rsidP="0097356F">
      <w:pPr>
        <w:pStyle w:val="1AutoList1"/>
        <w:spacing w:line="360" w:lineRule="auto"/>
        <w:ind w:left="0" w:right="227" w:firstLine="0"/>
        <w:rPr>
          <w:rFonts w:ascii="Arial" w:hAnsi="Arial" w:cs="Arial"/>
        </w:rPr>
      </w:pPr>
    </w:p>
    <w:p w:rsidR="008D457D" w:rsidRPr="00CF30B8" w:rsidRDefault="008D457D" w:rsidP="00816D3C">
      <w:pPr>
        <w:widowControl w:val="0"/>
        <w:autoSpaceDE w:val="0"/>
        <w:autoSpaceDN w:val="0"/>
        <w:adjustRightInd w:val="0"/>
        <w:spacing w:before="0" w:after="0"/>
        <w:rPr>
          <w:szCs w:val="24"/>
        </w:rPr>
      </w:pPr>
    </w:p>
    <w:p w:rsidR="00816D3C" w:rsidRPr="00AE4758" w:rsidRDefault="00816D3C" w:rsidP="00816D3C">
      <w:pPr>
        <w:widowControl w:val="0"/>
        <w:autoSpaceDE w:val="0"/>
        <w:autoSpaceDN w:val="0"/>
        <w:adjustRightInd w:val="0"/>
        <w:spacing w:before="0" w:after="0"/>
        <w:rPr>
          <w:sz w:val="20"/>
          <w:szCs w:val="20"/>
        </w:rPr>
      </w:pPr>
      <w:r w:rsidRPr="00AE4758">
        <w:rPr>
          <w:sz w:val="20"/>
          <w:szCs w:val="20"/>
        </w:rPr>
        <w:t>APPEARANCES:</w:t>
      </w:r>
    </w:p>
    <w:p w:rsidR="00816D3C" w:rsidRPr="00AE4758" w:rsidRDefault="00816D3C" w:rsidP="00816D3C">
      <w:pPr>
        <w:widowControl w:val="0"/>
        <w:tabs>
          <w:tab w:val="left" w:pos="2835"/>
        </w:tabs>
        <w:autoSpaceDE w:val="0"/>
        <w:autoSpaceDN w:val="0"/>
        <w:adjustRightInd w:val="0"/>
        <w:spacing w:before="0" w:after="0"/>
        <w:rPr>
          <w:sz w:val="20"/>
          <w:szCs w:val="20"/>
        </w:rPr>
      </w:pPr>
      <w:r w:rsidRPr="00AE4758">
        <w:rPr>
          <w:sz w:val="20"/>
          <w:szCs w:val="20"/>
        </w:rPr>
        <w:t xml:space="preserve">For </w:t>
      </w:r>
      <w:r w:rsidR="005D3CAE" w:rsidRPr="00AE4758">
        <w:rPr>
          <w:sz w:val="20"/>
          <w:szCs w:val="20"/>
        </w:rPr>
        <w:t>the A</w:t>
      </w:r>
      <w:r w:rsidR="007211CC" w:rsidRPr="00AE4758">
        <w:rPr>
          <w:sz w:val="20"/>
          <w:szCs w:val="20"/>
        </w:rPr>
        <w:t xml:space="preserve">ppellant: </w:t>
      </w:r>
      <w:r w:rsidRPr="00AE4758">
        <w:rPr>
          <w:sz w:val="20"/>
          <w:szCs w:val="20"/>
        </w:rPr>
        <w:t>A Vorster</w:t>
      </w:r>
    </w:p>
    <w:p w:rsidR="00816D3C" w:rsidRPr="00AE4758" w:rsidRDefault="007211CC" w:rsidP="00816D3C">
      <w:pPr>
        <w:widowControl w:val="0"/>
        <w:tabs>
          <w:tab w:val="left" w:pos="2835"/>
        </w:tabs>
        <w:autoSpaceDE w:val="0"/>
        <w:autoSpaceDN w:val="0"/>
        <w:adjustRightInd w:val="0"/>
        <w:spacing w:before="0" w:after="0"/>
        <w:rPr>
          <w:sz w:val="20"/>
          <w:szCs w:val="20"/>
        </w:rPr>
      </w:pPr>
      <w:proofErr w:type="gramStart"/>
      <w:r w:rsidRPr="00AE4758">
        <w:rPr>
          <w:sz w:val="20"/>
          <w:szCs w:val="20"/>
        </w:rPr>
        <w:t xml:space="preserve">Instructed by: </w:t>
      </w:r>
      <w:proofErr w:type="spellStart"/>
      <w:r w:rsidR="00816D3C" w:rsidRPr="00AE4758">
        <w:rPr>
          <w:sz w:val="20"/>
          <w:szCs w:val="20"/>
        </w:rPr>
        <w:t>Malebye</w:t>
      </w:r>
      <w:proofErr w:type="spellEnd"/>
      <w:r w:rsidR="00816D3C" w:rsidRPr="00AE4758">
        <w:rPr>
          <w:sz w:val="20"/>
          <w:szCs w:val="20"/>
        </w:rPr>
        <w:t xml:space="preserve">, </w:t>
      </w:r>
      <w:proofErr w:type="spellStart"/>
      <w:r w:rsidR="00816D3C" w:rsidRPr="00AE4758">
        <w:rPr>
          <w:sz w:val="20"/>
          <w:szCs w:val="20"/>
        </w:rPr>
        <w:t>Motaung</w:t>
      </w:r>
      <w:proofErr w:type="spellEnd"/>
      <w:r w:rsidR="00816D3C" w:rsidRPr="00AE4758">
        <w:rPr>
          <w:sz w:val="20"/>
          <w:szCs w:val="20"/>
        </w:rPr>
        <w:t xml:space="preserve">, Mtembu </w:t>
      </w:r>
      <w:proofErr w:type="spellStart"/>
      <w:r w:rsidR="00816D3C" w:rsidRPr="00AE4758">
        <w:rPr>
          <w:sz w:val="20"/>
          <w:szCs w:val="20"/>
        </w:rPr>
        <w:t>Inc</w:t>
      </w:r>
      <w:proofErr w:type="spellEnd"/>
      <w:r w:rsidR="00816D3C" w:rsidRPr="00AE4758">
        <w:rPr>
          <w:sz w:val="20"/>
          <w:szCs w:val="20"/>
        </w:rPr>
        <w:t>, Pretoria</w:t>
      </w:r>
      <w:r w:rsidRPr="00AE4758">
        <w:rPr>
          <w:sz w:val="20"/>
          <w:szCs w:val="20"/>
        </w:rPr>
        <w:t>.</w:t>
      </w:r>
      <w:proofErr w:type="gramEnd"/>
      <w:r w:rsidRPr="00AE4758">
        <w:rPr>
          <w:sz w:val="20"/>
          <w:szCs w:val="20"/>
        </w:rPr>
        <w:t xml:space="preserve"> </w:t>
      </w:r>
      <w:proofErr w:type="spellStart"/>
      <w:r w:rsidR="00816D3C" w:rsidRPr="00AE4758">
        <w:rPr>
          <w:sz w:val="20"/>
          <w:szCs w:val="20"/>
        </w:rPr>
        <w:t>Mphafi</w:t>
      </w:r>
      <w:proofErr w:type="spellEnd"/>
      <w:r w:rsidR="00816D3C" w:rsidRPr="00AE4758">
        <w:rPr>
          <w:sz w:val="20"/>
          <w:szCs w:val="20"/>
        </w:rPr>
        <w:t xml:space="preserve"> </w:t>
      </w:r>
      <w:proofErr w:type="spellStart"/>
      <w:r w:rsidR="00816D3C" w:rsidRPr="00AE4758">
        <w:rPr>
          <w:sz w:val="20"/>
          <w:szCs w:val="20"/>
        </w:rPr>
        <w:t>Khang</w:t>
      </w:r>
      <w:proofErr w:type="spellEnd"/>
      <w:r w:rsidR="00816D3C" w:rsidRPr="00AE4758">
        <w:rPr>
          <w:sz w:val="20"/>
          <w:szCs w:val="20"/>
        </w:rPr>
        <w:t xml:space="preserve"> </w:t>
      </w:r>
      <w:proofErr w:type="spellStart"/>
      <w:r w:rsidR="00816D3C" w:rsidRPr="00AE4758">
        <w:rPr>
          <w:sz w:val="20"/>
          <w:szCs w:val="20"/>
        </w:rPr>
        <w:t>Inc</w:t>
      </w:r>
      <w:proofErr w:type="spellEnd"/>
      <w:r w:rsidR="00816D3C" w:rsidRPr="00AE4758">
        <w:rPr>
          <w:sz w:val="20"/>
          <w:szCs w:val="20"/>
        </w:rPr>
        <w:t>, Bloemfontein</w:t>
      </w:r>
    </w:p>
    <w:p w:rsidR="00816D3C" w:rsidRPr="00AE4758" w:rsidRDefault="005D3CAE" w:rsidP="00816D3C">
      <w:pPr>
        <w:widowControl w:val="0"/>
        <w:tabs>
          <w:tab w:val="left" w:pos="2835"/>
        </w:tabs>
        <w:autoSpaceDE w:val="0"/>
        <w:autoSpaceDN w:val="0"/>
        <w:adjustRightInd w:val="0"/>
        <w:spacing w:before="0" w:after="0"/>
        <w:rPr>
          <w:sz w:val="20"/>
          <w:szCs w:val="20"/>
        </w:rPr>
      </w:pPr>
      <w:r w:rsidRPr="00AE4758">
        <w:rPr>
          <w:sz w:val="20"/>
          <w:szCs w:val="20"/>
        </w:rPr>
        <w:t>For the R</w:t>
      </w:r>
      <w:r w:rsidR="007211CC" w:rsidRPr="00AE4758">
        <w:rPr>
          <w:sz w:val="20"/>
          <w:szCs w:val="20"/>
        </w:rPr>
        <w:t xml:space="preserve">espondent: </w:t>
      </w:r>
      <w:r w:rsidR="00816D3C" w:rsidRPr="00AE4758">
        <w:rPr>
          <w:sz w:val="20"/>
          <w:szCs w:val="20"/>
        </w:rPr>
        <w:t>J Vorster</w:t>
      </w:r>
    </w:p>
    <w:p w:rsidR="00816D3C" w:rsidRPr="00AE4758" w:rsidRDefault="007211CC" w:rsidP="00816D3C">
      <w:pPr>
        <w:widowControl w:val="0"/>
        <w:tabs>
          <w:tab w:val="left" w:pos="2835"/>
        </w:tabs>
        <w:autoSpaceDE w:val="0"/>
        <w:autoSpaceDN w:val="0"/>
        <w:adjustRightInd w:val="0"/>
        <w:spacing w:before="0" w:after="0"/>
        <w:rPr>
          <w:sz w:val="20"/>
          <w:szCs w:val="20"/>
        </w:rPr>
      </w:pPr>
      <w:proofErr w:type="gramStart"/>
      <w:r w:rsidRPr="00AE4758">
        <w:rPr>
          <w:sz w:val="20"/>
          <w:szCs w:val="20"/>
        </w:rPr>
        <w:t xml:space="preserve">Instructed by: </w:t>
      </w:r>
      <w:r w:rsidR="00816D3C" w:rsidRPr="00AE4758">
        <w:rPr>
          <w:sz w:val="20"/>
          <w:szCs w:val="20"/>
        </w:rPr>
        <w:t>M D Mitchell Attorneys, Pretoria</w:t>
      </w:r>
      <w:r w:rsidRPr="00AE4758">
        <w:rPr>
          <w:sz w:val="20"/>
          <w:szCs w:val="20"/>
        </w:rPr>
        <w:t>.</w:t>
      </w:r>
      <w:proofErr w:type="gramEnd"/>
      <w:r w:rsidRPr="00AE4758">
        <w:rPr>
          <w:sz w:val="20"/>
          <w:szCs w:val="20"/>
        </w:rPr>
        <w:t xml:space="preserve"> </w:t>
      </w:r>
      <w:r w:rsidR="00816D3C" w:rsidRPr="00AE4758">
        <w:rPr>
          <w:sz w:val="20"/>
          <w:szCs w:val="20"/>
        </w:rPr>
        <w:t xml:space="preserve">Webbers Attorneys, Bloemfontein </w:t>
      </w:r>
    </w:p>
    <w:sectPr w:rsidR="00816D3C" w:rsidRPr="00AE4758" w:rsidSect="00854876">
      <w:headerReference w:type="default" r:id="rId8"/>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97" w:rsidRDefault="00EB0E97" w:rsidP="008447E1">
      <w:r>
        <w:separator/>
      </w:r>
    </w:p>
  </w:endnote>
  <w:endnote w:type="continuationSeparator" w:id="0">
    <w:p w:rsidR="00EB0E97" w:rsidRDefault="00EB0E97" w:rsidP="0084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97" w:rsidRDefault="00EB0E97" w:rsidP="008447E1">
      <w:r>
        <w:separator/>
      </w:r>
    </w:p>
  </w:footnote>
  <w:footnote w:type="continuationSeparator" w:id="0">
    <w:p w:rsidR="00EB0E97" w:rsidRDefault="00EB0E97" w:rsidP="008447E1">
      <w:r>
        <w:continuationSeparator/>
      </w:r>
    </w:p>
  </w:footnote>
  <w:footnote w:id="1">
    <w:p w:rsidR="00000000" w:rsidRDefault="003C6313" w:rsidP="007909AA">
      <w:pPr>
        <w:pStyle w:val="FootnoteText"/>
        <w:jc w:val="both"/>
      </w:pPr>
      <w:r>
        <w:rPr>
          <w:rStyle w:val="FootnoteReference"/>
        </w:rPr>
        <w:footnoteRef/>
      </w:r>
      <w:r>
        <w:t xml:space="preserve"> </w:t>
      </w:r>
      <w:proofErr w:type="gramStart"/>
      <w:r w:rsidR="004F7E5D" w:rsidRPr="00BF79EE">
        <w:rPr>
          <w:i/>
        </w:rPr>
        <w:t>BOE Bank Ltd v Tshwane Metropolitan Municipality</w:t>
      </w:r>
      <w:r w:rsidR="004F7E5D">
        <w:t xml:space="preserve"> (240/2003) [2005] ZASCA 21 (29 March 2005)</w:t>
      </w:r>
      <w:r w:rsidR="0061124F">
        <w:t>;</w:t>
      </w:r>
      <w:r w:rsidR="004F7E5D">
        <w:t xml:space="preserve"> </w:t>
      </w:r>
      <w:r>
        <w:t>2005</w:t>
      </w:r>
      <w:r w:rsidR="004F7E5D">
        <w:t xml:space="preserve"> </w:t>
      </w:r>
      <w:r>
        <w:t>(4) SA 33</w:t>
      </w:r>
      <w:r w:rsidR="00356AF7">
        <w:t>BOE Bank vs</w:t>
      </w:r>
      <w:r>
        <w:t>6 (SCA)</w:t>
      </w:r>
      <w:r w:rsidR="004F7E5D">
        <w:t>.</w:t>
      </w:r>
      <w:proofErr w:type="gramEnd"/>
    </w:p>
  </w:footnote>
  <w:footnote w:id="2">
    <w:p w:rsidR="00000000" w:rsidRDefault="00A24139" w:rsidP="0038762A">
      <w:pPr>
        <w:pStyle w:val="FootnoteText"/>
        <w:jc w:val="both"/>
      </w:pPr>
      <w:r w:rsidRPr="00586771">
        <w:rPr>
          <w:rStyle w:val="FootnoteReference"/>
        </w:rPr>
        <w:footnoteRef/>
      </w:r>
      <w:r w:rsidRPr="00313941">
        <w:t xml:space="preserve"> </w:t>
      </w:r>
      <w:proofErr w:type="gramStart"/>
      <w:r w:rsidR="007C5BD3" w:rsidRPr="008357D0">
        <w:t>Para 7</w:t>
      </w:r>
      <w:r w:rsidR="007C5BD3" w:rsidRPr="00586771">
        <w:t>.</w:t>
      </w:r>
      <w:proofErr w:type="gramEnd"/>
      <w:r w:rsidR="007C5BD3" w:rsidRPr="00586771">
        <w:t xml:space="preserve"> </w:t>
      </w:r>
      <w:r w:rsidRPr="00BC11F4">
        <w:t>Brand JA was referring to s 50(1) of Transvaal Local Government Ordinance 17 of 1939, the wording of which was similar to that of s 118(1) of the Act.</w:t>
      </w:r>
      <w:r>
        <w:t xml:space="preserve"> </w:t>
      </w:r>
    </w:p>
  </w:footnote>
  <w:footnote w:id="3">
    <w:p w:rsidR="00000000" w:rsidRDefault="00F627AE" w:rsidP="00F627AE">
      <w:pPr>
        <w:pStyle w:val="FootnoteText"/>
      </w:pPr>
      <w:r>
        <w:rPr>
          <w:rStyle w:val="FootnoteReference"/>
        </w:rPr>
        <w:footnoteRef/>
      </w:r>
      <w:r>
        <w:t xml:space="preserve"> </w:t>
      </w:r>
      <w:proofErr w:type="gramStart"/>
      <w:r>
        <w:t>Para 7.</w:t>
      </w:r>
      <w:proofErr w:type="gramEnd"/>
    </w:p>
  </w:footnote>
  <w:footnote w:id="4">
    <w:p w:rsidR="00000000" w:rsidRDefault="00FB2BB3" w:rsidP="0038762A">
      <w:pPr>
        <w:pStyle w:val="FootnoteText"/>
        <w:jc w:val="both"/>
      </w:pPr>
      <w:r>
        <w:rPr>
          <w:rStyle w:val="FootnoteReference"/>
        </w:rPr>
        <w:footnoteRef/>
      </w:r>
      <w:r>
        <w:t xml:space="preserve"> </w:t>
      </w:r>
      <w:r w:rsidRPr="00AC5BCC">
        <w:t>Section 50(2), which later became s 50(3) of the Transvaal Local Government Ordinance contained wording similar to s 118(3) of the Act.</w:t>
      </w:r>
    </w:p>
  </w:footnote>
  <w:footnote w:id="5">
    <w:p w:rsidR="00000000" w:rsidRDefault="00B04F2B">
      <w:pPr>
        <w:pStyle w:val="FootnoteText"/>
      </w:pPr>
      <w:r w:rsidRPr="00AC5BCC">
        <w:rPr>
          <w:rStyle w:val="FootnoteReference"/>
        </w:rPr>
        <w:footnoteRef/>
      </w:r>
      <w:r>
        <w:t xml:space="preserve"> </w:t>
      </w:r>
      <w:proofErr w:type="gramStart"/>
      <w:r w:rsidRPr="00A711C6">
        <w:rPr>
          <w:i/>
        </w:rPr>
        <w:t>City o</w:t>
      </w:r>
      <w:r w:rsidR="00A711C6" w:rsidRPr="00A711C6">
        <w:rPr>
          <w:i/>
        </w:rPr>
        <w:t>f Johannesburg v Kaplan N.O. &amp;</w:t>
      </w:r>
      <w:r w:rsidRPr="00A711C6">
        <w:rPr>
          <w:i/>
        </w:rPr>
        <w:t xml:space="preserve"> another </w:t>
      </w:r>
      <w:r w:rsidR="0061124F" w:rsidRPr="00AC5BCC">
        <w:t>(111/05) [2006] ZASCA 39 (29 March 2006)</w:t>
      </w:r>
      <w:r w:rsidR="0061124F">
        <w:t xml:space="preserve">; </w:t>
      </w:r>
      <w:r w:rsidRPr="0061124F">
        <w:t>2006</w:t>
      </w:r>
      <w:r>
        <w:t xml:space="preserve"> (5) SA 10</w:t>
      </w:r>
      <w:r w:rsidR="0061124F">
        <w:t xml:space="preserve"> (SCA)</w:t>
      </w:r>
      <w:r w:rsidR="00FB4498">
        <w:t xml:space="preserve"> para 13</w:t>
      </w:r>
      <w:r w:rsidR="00A711C6">
        <w:t>.</w:t>
      </w:r>
      <w:proofErr w:type="gramEnd"/>
      <w:r w:rsidR="00A711C6">
        <w:t xml:space="preserve"> </w:t>
      </w:r>
    </w:p>
  </w:footnote>
  <w:footnote w:id="6">
    <w:p w:rsidR="00000000" w:rsidRDefault="00A711C6">
      <w:pPr>
        <w:pStyle w:val="FootnoteText"/>
      </w:pPr>
      <w:r>
        <w:rPr>
          <w:rStyle w:val="FootnoteReference"/>
        </w:rPr>
        <w:footnoteRef/>
      </w:r>
      <w:r>
        <w:t xml:space="preserve"> </w:t>
      </w:r>
      <w:proofErr w:type="gramStart"/>
      <w:r>
        <w:t>Paras 15 and 16.</w:t>
      </w:r>
      <w:proofErr w:type="gramEnd"/>
    </w:p>
  </w:footnote>
  <w:footnote w:id="7">
    <w:p w:rsidR="00000000" w:rsidRDefault="00C00599" w:rsidP="00C00599">
      <w:pPr>
        <w:pStyle w:val="FootnoteText"/>
      </w:pPr>
      <w:r>
        <w:rPr>
          <w:rStyle w:val="FootnoteReference"/>
        </w:rPr>
        <w:footnoteRef/>
      </w:r>
      <w:r>
        <w:t xml:space="preserve"> </w:t>
      </w:r>
      <w:proofErr w:type="gramStart"/>
      <w:r>
        <w:t>Para 10.</w:t>
      </w:r>
      <w:proofErr w:type="gramEnd"/>
    </w:p>
  </w:footnote>
  <w:footnote w:id="8">
    <w:p w:rsidR="00000000" w:rsidRDefault="00C00599" w:rsidP="0038762A">
      <w:pPr>
        <w:pStyle w:val="FootnoteText"/>
        <w:jc w:val="both"/>
      </w:pPr>
      <w:r>
        <w:rPr>
          <w:rStyle w:val="FootnoteReference"/>
        </w:rPr>
        <w:footnoteRef/>
      </w:r>
      <w:r>
        <w:t xml:space="preserve"> </w:t>
      </w:r>
      <w:r w:rsidRPr="00297B9B">
        <w:t>Alt</w:t>
      </w:r>
      <w:r>
        <w:t>hough</w:t>
      </w:r>
      <w:r w:rsidRPr="00297B9B">
        <w:t xml:space="preserve"> in his heads of argument counsel for the respondent submitted that the historical debt has become prescribed</w:t>
      </w:r>
      <w:r>
        <w:t xml:space="preserve"> and that the issue had become moot</w:t>
      </w:r>
      <w:r w:rsidRPr="00297B9B">
        <w:t xml:space="preserve">, that </w:t>
      </w:r>
      <w:r>
        <w:t>argument was not persist</w:t>
      </w:r>
      <w:r w:rsidRPr="00297B9B">
        <w:t xml:space="preserve">ed </w:t>
      </w:r>
      <w:r>
        <w:t xml:space="preserve">with </w:t>
      </w:r>
      <w:r w:rsidRPr="00297B9B">
        <w:t>before us</w:t>
      </w:r>
      <w:r>
        <w:t>.</w:t>
      </w:r>
    </w:p>
  </w:footnote>
  <w:footnote w:id="9">
    <w:p w:rsidR="00000000" w:rsidRDefault="00230AF0">
      <w:pPr>
        <w:pStyle w:val="FootnoteText"/>
      </w:pPr>
      <w:r>
        <w:rPr>
          <w:rStyle w:val="FootnoteReference"/>
        </w:rPr>
        <w:footnoteRef/>
      </w:r>
      <w:r>
        <w:t xml:space="preserve"> </w:t>
      </w:r>
      <w:proofErr w:type="gramStart"/>
      <w:r>
        <w:t xml:space="preserve">Para </w:t>
      </w:r>
      <w:r w:rsidR="000D4293">
        <w:t>9.</w:t>
      </w:r>
      <w:proofErr w:type="gramEnd"/>
    </w:p>
  </w:footnote>
  <w:footnote w:id="10">
    <w:p w:rsidR="00000000" w:rsidRDefault="00B00D52">
      <w:pPr>
        <w:pStyle w:val="FootnoteText"/>
      </w:pPr>
      <w:r>
        <w:rPr>
          <w:rStyle w:val="FootnoteReference"/>
        </w:rPr>
        <w:footnoteRef/>
      </w:r>
      <w:r>
        <w:t xml:space="preserve"> </w:t>
      </w:r>
      <w:proofErr w:type="gramStart"/>
      <w:r>
        <w:rPr>
          <w:lang w:val="en-US"/>
        </w:rPr>
        <w:t xml:space="preserve">Para </w:t>
      </w:r>
      <w:r w:rsidR="000D4293">
        <w:rPr>
          <w:lang w:val="en-US"/>
        </w:rPr>
        <w:t>12.</w:t>
      </w:r>
      <w:proofErr w:type="gramEnd"/>
    </w:p>
  </w:footnote>
  <w:footnote w:id="11">
    <w:p w:rsidR="00000000" w:rsidRDefault="00BD6507" w:rsidP="00AC5BCC">
      <w:pPr>
        <w:pStyle w:val="FootnoteText"/>
        <w:spacing w:after="60"/>
        <w:jc w:val="both"/>
      </w:pPr>
      <w:r>
        <w:rPr>
          <w:rStyle w:val="FootnoteReference"/>
        </w:rPr>
        <w:footnoteRef/>
      </w:r>
      <w:r w:rsidR="005C60F2">
        <w:rPr>
          <w:rFonts w:ascii="Calibri" w:hAnsi="Calibri"/>
        </w:rPr>
        <w:t xml:space="preserve"> </w:t>
      </w:r>
      <w:r w:rsidR="005C60F2" w:rsidRPr="005C60F2">
        <w:rPr>
          <w:rFonts w:cs="Arial"/>
        </w:rPr>
        <w:t>The exception reads;</w:t>
      </w:r>
      <w:r w:rsidRPr="00495929">
        <w:t xml:space="preserve"> </w:t>
      </w:r>
      <w:r w:rsidRPr="005C60F2">
        <w:t>‘Another exception is when mortgaged properties have been sold and delivered on the petition of creditors by order of a Judge with employment of the formalities of the spear, and creditors ho</w:t>
      </w:r>
      <w:r w:rsidR="00007430" w:rsidRPr="005C60F2">
        <w:t>lding a hypothec have kept silen</w:t>
      </w:r>
      <w:r w:rsidRPr="005C60F2">
        <w:t>t.</w:t>
      </w:r>
      <w:r w:rsidR="00007430" w:rsidRPr="005C60F2">
        <w:t xml:space="preserve"> </w:t>
      </w:r>
      <w:r w:rsidRPr="005C60F2">
        <w:t>Nevertheless</w:t>
      </w:r>
      <w:r w:rsidR="00226DA2">
        <w:t>,</w:t>
      </w:r>
      <w:r w:rsidRPr="005C60F2">
        <w:t xml:space="preserve"> by our customs in such a case the price takes the place of the thing</w:t>
      </w:r>
      <w:r w:rsidR="00401D24">
        <w:t>,</w:t>
      </w:r>
      <w:r w:rsidRPr="005C60F2">
        <w:t xml:space="preserve"> and a </w:t>
      </w:r>
      <w:proofErr w:type="spellStart"/>
      <w:r w:rsidRPr="005C60F2">
        <w:t>hypothecary</w:t>
      </w:r>
      <w:proofErr w:type="spellEnd"/>
      <w:r w:rsidRPr="005C60F2">
        <w:t xml:space="preserve"> creditor is permitted to contest with the rest of the creditors the privilege of preference over the price of the mortgaged property.’</w:t>
      </w:r>
      <w:r w:rsidR="005C60F2" w:rsidRPr="005C60F2">
        <w:t xml:space="preserve"> </w:t>
      </w:r>
      <w:proofErr w:type="gramStart"/>
      <w:r w:rsidR="005C60F2" w:rsidRPr="00AC5BCC">
        <w:t xml:space="preserve">(Percival </w:t>
      </w:r>
      <w:proofErr w:type="spellStart"/>
      <w:r w:rsidR="005C60F2" w:rsidRPr="00AC5BCC">
        <w:t>Gane’s</w:t>
      </w:r>
      <w:proofErr w:type="spellEnd"/>
      <w:r w:rsidR="005C60F2" w:rsidRPr="00AC5BCC">
        <w:t xml:space="preserve"> Translation, 1956</w:t>
      </w:r>
      <w:r w:rsidR="00902DCC">
        <w:t xml:space="preserve"> at 488-489</w:t>
      </w:r>
      <w:r w:rsidR="005C60F2" w:rsidRPr="00AC5BCC">
        <w:t>)</w:t>
      </w:r>
      <w:r w:rsidR="007777CD">
        <w:t>.</w:t>
      </w:r>
      <w:proofErr w:type="gramEnd"/>
    </w:p>
  </w:footnote>
  <w:footnote w:id="12">
    <w:p w:rsidR="00000000" w:rsidRDefault="001E2D56" w:rsidP="001E2D56">
      <w:pPr>
        <w:pStyle w:val="FootnoteText"/>
      </w:pPr>
      <w:r w:rsidRPr="00671CFC">
        <w:rPr>
          <w:rStyle w:val="FootnoteReference"/>
        </w:rPr>
        <w:footnoteRef/>
      </w:r>
      <w:r w:rsidRPr="00671CFC">
        <w:t xml:space="preserve"> </w:t>
      </w:r>
      <w:proofErr w:type="gramStart"/>
      <w:r w:rsidRPr="00671CFC">
        <w:t>Para 13.</w:t>
      </w:r>
      <w:proofErr w:type="gramEnd"/>
    </w:p>
  </w:footnote>
  <w:footnote w:id="13">
    <w:p w:rsidR="00000000" w:rsidRDefault="00035B53">
      <w:pPr>
        <w:pStyle w:val="FootnoteText"/>
      </w:pPr>
      <w:r>
        <w:rPr>
          <w:rStyle w:val="FootnoteReference"/>
        </w:rPr>
        <w:footnoteRef/>
      </w:r>
      <w:r>
        <w:t xml:space="preserve"> </w:t>
      </w:r>
      <w:proofErr w:type="gramStart"/>
      <w:r>
        <w:t>Para 14 of the judgment.</w:t>
      </w:r>
      <w:proofErr w:type="gramEnd"/>
    </w:p>
  </w:footnote>
  <w:footnote w:id="14">
    <w:p w:rsidR="00000000" w:rsidRDefault="003C6313" w:rsidP="00035B53">
      <w:pPr>
        <w:pStyle w:val="FootnoteText"/>
        <w:spacing w:after="60"/>
        <w:jc w:val="both"/>
      </w:pPr>
      <w:r w:rsidRPr="00495929">
        <w:rPr>
          <w:rStyle w:val="FootnoteReference"/>
        </w:rPr>
        <w:footnoteRef/>
      </w:r>
      <w:r w:rsidRPr="00495929">
        <w:rPr>
          <w:rStyle w:val="FootnoteReference"/>
        </w:rPr>
        <w:t xml:space="preserve"> </w:t>
      </w:r>
      <w:proofErr w:type="gramStart"/>
      <w:r w:rsidR="004F7E5D" w:rsidRPr="00F8120C">
        <w:rPr>
          <w:i/>
        </w:rPr>
        <w:t xml:space="preserve">City of Tshwane Metropolitan Municipality v </w:t>
      </w:r>
      <w:proofErr w:type="spellStart"/>
      <w:r w:rsidR="004F7E5D" w:rsidRPr="00F8120C">
        <w:rPr>
          <w:i/>
        </w:rPr>
        <w:t>Mathabathe</w:t>
      </w:r>
      <w:proofErr w:type="spellEnd"/>
      <w:r w:rsidR="004F7E5D">
        <w:t xml:space="preserve"> </w:t>
      </w:r>
      <w:r w:rsidR="004F7E5D" w:rsidRPr="00F8120C">
        <w:rPr>
          <w:i/>
        </w:rPr>
        <w:t>&amp;</w:t>
      </w:r>
      <w:r w:rsidR="00035B53">
        <w:rPr>
          <w:i/>
        </w:rPr>
        <w:t xml:space="preserve"> </w:t>
      </w:r>
      <w:r w:rsidR="004F7E5D" w:rsidRPr="00F8120C">
        <w:rPr>
          <w:i/>
        </w:rPr>
        <w:t>another</w:t>
      </w:r>
      <w:r w:rsidR="004F7E5D" w:rsidRPr="00F8120C">
        <w:t xml:space="preserve"> </w:t>
      </w:r>
      <w:r w:rsidR="004F7E5D">
        <w:t xml:space="preserve">(502/12) [2013] ZASCA 60 (22 May 2013); </w:t>
      </w:r>
      <w:r w:rsidRPr="00495929">
        <w:t>2013 (4) SA 319</w:t>
      </w:r>
      <w:r w:rsidR="004F7E5D">
        <w:t xml:space="preserve"> (SCA)</w:t>
      </w:r>
      <w:r w:rsidR="00951D6E">
        <w:t>.</w:t>
      </w:r>
      <w:proofErr w:type="gramEnd"/>
      <w:r w:rsidRPr="00495929">
        <w:t xml:space="preserve"> </w:t>
      </w:r>
    </w:p>
  </w:footnote>
  <w:footnote w:id="15">
    <w:p w:rsidR="00000000" w:rsidRDefault="00035B53">
      <w:pPr>
        <w:pStyle w:val="FootnoteText"/>
      </w:pPr>
      <w:r>
        <w:rPr>
          <w:rStyle w:val="FootnoteReference"/>
        </w:rPr>
        <w:footnoteRef/>
      </w:r>
      <w:r>
        <w:t xml:space="preserve"> </w:t>
      </w:r>
      <w:proofErr w:type="gramStart"/>
      <w:r>
        <w:t>Para 11.</w:t>
      </w:r>
      <w:proofErr w:type="gramEnd"/>
    </w:p>
  </w:footnote>
  <w:footnote w:id="16">
    <w:p w:rsidR="00000000" w:rsidRDefault="009A3CCD">
      <w:pPr>
        <w:pStyle w:val="FootnoteText"/>
      </w:pPr>
      <w:r>
        <w:rPr>
          <w:rStyle w:val="FootnoteReference"/>
        </w:rPr>
        <w:footnoteRef/>
      </w:r>
      <w:r>
        <w:t xml:space="preserve"> </w:t>
      </w:r>
      <w:proofErr w:type="gramStart"/>
      <w:r>
        <w:t>Para 12.</w:t>
      </w:r>
      <w:proofErr w:type="gramEnd"/>
    </w:p>
  </w:footnote>
  <w:footnote w:id="17">
    <w:p w:rsidR="00000000" w:rsidRDefault="00D80DFC" w:rsidP="007777CD">
      <w:pPr>
        <w:pStyle w:val="FootnoteText"/>
        <w:jc w:val="both"/>
      </w:pPr>
      <w:r>
        <w:rPr>
          <w:rStyle w:val="FootnoteReference"/>
        </w:rPr>
        <w:footnoteRef/>
      </w:r>
      <w:r>
        <w:t xml:space="preserve"> </w:t>
      </w:r>
      <w:r w:rsidR="003A6719" w:rsidRPr="000A1996">
        <w:t>‘</w:t>
      </w:r>
      <w:r w:rsidRPr="00AC4DBC">
        <w:t xml:space="preserve">[11] </w:t>
      </w:r>
      <w:proofErr w:type="gramStart"/>
      <w:r w:rsidRPr="00AC4DBC">
        <w:t>Conversely</w:t>
      </w:r>
      <w:proofErr w:type="gramEnd"/>
      <w:r w:rsidRPr="00AC4DBC">
        <w:t>, if the Legislature really intended to render s</w:t>
      </w:r>
      <w:r w:rsidR="00C14B96" w:rsidRPr="00AC4DBC">
        <w:t xml:space="preserve"> </w:t>
      </w:r>
      <w:r w:rsidRPr="00AC4DBC">
        <w:t>118(3) subject to the same two-year time limit contemplated in s</w:t>
      </w:r>
      <w:r w:rsidR="00C14B96" w:rsidRPr="00AC4DBC">
        <w:t xml:space="preserve"> </w:t>
      </w:r>
      <w:r w:rsidRPr="00AC4DBC">
        <w:t>118(1), it could have done so in a number of ways. It could, for instance, have repeated the wording of s</w:t>
      </w:r>
      <w:r w:rsidR="00C14B96" w:rsidRPr="00AC4DBC">
        <w:t xml:space="preserve"> </w:t>
      </w:r>
      <w:r w:rsidRPr="00AC4DBC">
        <w:t>118(1). Or, it could have followed the precedent of the 1939 Transvaal Or</w:t>
      </w:r>
      <w:r w:rsidR="00C14B96" w:rsidRPr="00AC4DBC">
        <w:t>dinance by simply referring to “</w:t>
      </w:r>
      <w:r w:rsidRPr="00AC4DBC">
        <w:t>any amounts due in terms of s</w:t>
      </w:r>
      <w:r w:rsidR="00C14B96" w:rsidRPr="00AC4DBC">
        <w:t xml:space="preserve"> </w:t>
      </w:r>
      <w:r w:rsidRPr="00AC4DBC">
        <w:t>11</w:t>
      </w:r>
      <w:r w:rsidR="00C14B96" w:rsidRPr="00AC4DBC">
        <w:t>8(1).”</w:t>
      </w:r>
      <w:r w:rsidR="00716B7A" w:rsidRPr="00AC4DBC">
        <w:t xml:space="preserve"> This would have </w:t>
      </w:r>
      <w:r w:rsidR="00C14B96" w:rsidRPr="00AC4DBC">
        <w:t xml:space="preserve">the </w:t>
      </w:r>
      <w:r w:rsidR="00716B7A" w:rsidRPr="00AC4DBC">
        <w:t>added</w:t>
      </w:r>
      <w:r w:rsidRPr="00AC4DBC">
        <w:t xml:space="preserve"> advantage of avoiding repetition of the cumbersome language enumerating the different causes from which the debts may arise. The inference is clear. If the Legislature intended to introduce a time limit into s</w:t>
      </w:r>
      <w:r w:rsidR="00C14B96" w:rsidRPr="00AC4DBC">
        <w:t xml:space="preserve"> </w:t>
      </w:r>
      <w:r w:rsidRPr="00AC4DBC">
        <w:t>118(3), it would not have done so in the convoluted way suggested by the bank</w:t>
      </w:r>
      <w:r w:rsidR="005A4C35" w:rsidRPr="00AC4DBC">
        <w:t>.</w:t>
      </w:r>
      <w:r w:rsidR="003A6719" w:rsidRPr="00AC4DBC">
        <w:t>’</w:t>
      </w:r>
    </w:p>
  </w:footnote>
  <w:footnote w:id="18">
    <w:p w:rsidR="00000000" w:rsidRDefault="00BA2680" w:rsidP="007777CD">
      <w:pPr>
        <w:pStyle w:val="FootnoteText"/>
        <w:jc w:val="both"/>
      </w:pPr>
      <w:r>
        <w:rPr>
          <w:rStyle w:val="FootnoteReference"/>
        </w:rPr>
        <w:footnoteRef/>
      </w:r>
      <w:r>
        <w:t xml:space="preserve"> Loosely translated</w:t>
      </w:r>
      <w:r w:rsidR="000D0509" w:rsidRPr="000A1996">
        <w:t>,</w:t>
      </w:r>
      <w:r>
        <w:t xml:space="preserve"> the court said: ‘Where land is sold in execution of a court order the </w:t>
      </w:r>
      <w:r w:rsidR="00E72F41">
        <w:t xml:space="preserve">bondholders </w:t>
      </w:r>
      <w:r>
        <w:t>lose their rights in respect thereof</w:t>
      </w:r>
      <w:r w:rsidR="00E72F41">
        <w:t xml:space="preserve"> [</w:t>
      </w:r>
      <w:proofErr w:type="spellStart"/>
      <w:r w:rsidR="00E72F41">
        <w:t>ie</w:t>
      </w:r>
      <w:proofErr w:type="spellEnd"/>
      <w:r w:rsidR="00E72F41">
        <w:t>, they lose their security over the land]</w:t>
      </w:r>
      <w:r>
        <w:t xml:space="preserve">, but retain their claim </w:t>
      </w:r>
      <w:r w:rsidR="00E72F41">
        <w:t xml:space="preserve">for preference under the rule </w:t>
      </w:r>
      <w:proofErr w:type="spellStart"/>
      <w:r w:rsidR="00E72F41" w:rsidRPr="00E72F41">
        <w:rPr>
          <w:i/>
        </w:rPr>
        <w:t>pretium</w:t>
      </w:r>
      <w:proofErr w:type="spellEnd"/>
      <w:r w:rsidR="00E72F41" w:rsidRPr="00E72F41">
        <w:rPr>
          <w:i/>
        </w:rPr>
        <w:t xml:space="preserve"> </w:t>
      </w:r>
      <w:proofErr w:type="spellStart"/>
      <w:r w:rsidR="00E72F41" w:rsidRPr="00E72F41">
        <w:rPr>
          <w:i/>
        </w:rPr>
        <w:t>succedit</w:t>
      </w:r>
      <w:proofErr w:type="spellEnd"/>
      <w:r w:rsidR="00E72F41" w:rsidRPr="00E72F41">
        <w:rPr>
          <w:i/>
        </w:rPr>
        <w:t xml:space="preserve"> in locum rei</w:t>
      </w:r>
      <w:r w:rsidR="00E72F41">
        <w:t>.’</w:t>
      </w:r>
      <w:r>
        <w:t xml:space="preserve"> </w:t>
      </w:r>
    </w:p>
  </w:footnote>
  <w:footnote w:id="19">
    <w:p w:rsidR="00000000" w:rsidRDefault="00B801D7" w:rsidP="007909AA">
      <w:pPr>
        <w:pStyle w:val="FootnoteText"/>
        <w:jc w:val="both"/>
      </w:pPr>
      <w:r>
        <w:rPr>
          <w:rStyle w:val="FootnoteReference"/>
        </w:rPr>
        <w:footnoteRef/>
      </w:r>
      <w:r>
        <w:t xml:space="preserve"> </w:t>
      </w:r>
      <w:r w:rsidR="00C45290">
        <w:t xml:space="preserve">‘Subject to any hypothec existing prior to the attachment, all writs of execution lodged with any sheriff appointed for a particular area or any other sheriff before or on the day of the sale in execution shall rank pro rata in the distribution of the proceeds of the goods sold, in the order of preference referred to in paragraph (c) of </w:t>
      </w:r>
      <w:proofErr w:type="spellStart"/>
      <w:r w:rsidR="00C45290">
        <w:t>subrule</w:t>
      </w:r>
      <w:proofErr w:type="spellEnd"/>
      <w:r w:rsidR="00C45290">
        <w:t xml:space="preserve"> (14) of rule 46.’</w:t>
      </w:r>
    </w:p>
  </w:footnote>
  <w:footnote w:id="20">
    <w:p w:rsidR="00000000" w:rsidRDefault="00B801D7" w:rsidP="007909AA">
      <w:pPr>
        <w:pStyle w:val="FootnoteText"/>
        <w:jc w:val="both"/>
      </w:pPr>
      <w:r>
        <w:rPr>
          <w:rStyle w:val="FootnoteReference"/>
        </w:rPr>
        <w:footnoteRef/>
      </w:r>
      <w:r>
        <w:t xml:space="preserve"> </w:t>
      </w:r>
      <w:r w:rsidR="00C45290">
        <w:t xml:space="preserve">‘No immovable property which is subject to any claim </w:t>
      </w:r>
      <w:proofErr w:type="spellStart"/>
      <w:r w:rsidR="00C45290">
        <w:t>preferent</w:t>
      </w:r>
      <w:proofErr w:type="spellEnd"/>
      <w:r w:rsidR="00C45290">
        <w:t xml:space="preserve"> to that of the execution creditor shall be sold in execution unless- (</w:t>
      </w:r>
      <w:r w:rsidR="00C45290" w:rsidRPr="00951D6E">
        <w:rPr>
          <w:i/>
        </w:rPr>
        <w:t>a</w:t>
      </w:r>
      <w:r w:rsidR="00C45290">
        <w:t xml:space="preserve">) the execution creditor has caused notice, in writing, of the intended sale to be served by registered post upon the </w:t>
      </w:r>
      <w:proofErr w:type="spellStart"/>
      <w:r w:rsidR="00C45290">
        <w:t>preferent</w:t>
      </w:r>
      <w:proofErr w:type="spellEnd"/>
      <w:r w:rsidR="00C45290">
        <w:t xml:space="preserve"> creditor, if his address is known and, if the property is rateable, upon the local authority concerned calling upon them to stipulate within ten days of a date to be stated a reasonable reserve price or to agree in writing to a sale without reserve; and has provided proof to the sheriff that the </w:t>
      </w:r>
      <w:proofErr w:type="spellStart"/>
      <w:r w:rsidR="00C45290">
        <w:t>preferent</w:t>
      </w:r>
      <w:proofErr w:type="spellEnd"/>
      <w:r w:rsidR="00C45290">
        <w:t xml:space="preserve"> creditor has so stipulated or agreed</w:t>
      </w:r>
      <w:r w:rsidR="00BB5C19">
        <w:t>,</w:t>
      </w:r>
      <w:r w:rsidR="002516AF">
        <w:t>. . .</w:t>
      </w:r>
      <w:r w:rsidR="00C45290">
        <w:t>’</w:t>
      </w:r>
    </w:p>
  </w:footnote>
  <w:footnote w:id="21">
    <w:p w:rsidR="00000000" w:rsidRDefault="0088568B" w:rsidP="007777CD">
      <w:pPr>
        <w:pStyle w:val="FootnoteText"/>
        <w:jc w:val="both"/>
      </w:pPr>
      <w:r>
        <w:rPr>
          <w:rStyle w:val="FootnoteReference"/>
        </w:rPr>
        <w:footnoteRef/>
      </w:r>
      <w:r>
        <w:t xml:space="preserve"> </w:t>
      </w:r>
      <w:r w:rsidR="00106F01" w:rsidRPr="000A1996">
        <w:t>See</w:t>
      </w:r>
      <w:r w:rsidR="00106F01">
        <w:t xml:space="preserve"> </w:t>
      </w:r>
      <w:r w:rsidRPr="007D582C">
        <w:rPr>
          <w:i/>
        </w:rPr>
        <w:t>Moodley v Minister of Education &amp; Culture, House of Delegates</w:t>
      </w:r>
      <w:r w:rsidR="00106F01">
        <w:t xml:space="preserve"> </w:t>
      </w:r>
      <w:r w:rsidR="00B20CAB" w:rsidRPr="00B20CAB">
        <w:t>(539/87) [1989] ZASCA 45 (31 March 1989)</w:t>
      </w:r>
      <w:r w:rsidR="00B20CAB">
        <w:t>;</w:t>
      </w:r>
      <w:r w:rsidR="00106F01">
        <w:t>1989 (3) SA 22</w:t>
      </w:r>
      <w:r w:rsidR="00106F01" w:rsidRPr="000A1996">
        <w:t>1 (A)</w:t>
      </w:r>
      <w:r w:rsidRPr="000A1996">
        <w:t xml:space="preserve"> a</w:t>
      </w:r>
      <w:r w:rsidRPr="007D582C">
        <w:t>t 233</w:t>
      </w:r>
      <w:r w:rsidR="00106F01">
        <w:t xml:space="preserve"> </w:t>
      </w:r>
      <w:r w:rsidRPr="007D582C">
        <w:t>D</w:t>
      </w:r>
      <w:r w:rsidR="005A4C35">
        <w:rPr>
          <w:rFonts w:ascii="Calibri" w:hAnsi="Calibri"/>
        </w:rPr>
        <w:t>–</w:t>
      </w:r>
      <w:r w:rsidRPr="007D582C">
        <w:t xml:space="preserve">F and </w:t>
      </w:r>
      <w:r w:rsidRPr="007D582C">
        <w:rPr>
          <w:i/>
        </w:rPr>
        <w:t>Islamic Unity Convention v Minister of</w:t>
      </w:r>
      <w:r w:rsidR="00B20CAB">
        <w:rPr>
          <w:i/>
        </w:rPr>
        <w:t xml:space="preserve"> </w:t>
      </w:r>
      <w:r w:rsidRPr="007D582C">
        <w:rPr>
          <w:i/>
        </w:rPr>
        <w:t>Telecommunications</w:t>
      </w:r>
      <w:r w:rsidRPr="007D582C">
        <w:t xml:space="preserve"> </w:t>
      </w:r>
      <w:r w:rsidR="00B20CAB" w:rsidRPr="00B20CAB">
        <w:t>(CCT 33/07) [2007] ZACC 26(7 December 2007)</w:t>
      </w:r>
      <w:r w:rsidR="00B20CAB">
        <w:t>;</w:t>
      </w:r>
      <w:r w:rsidR="00B20CAB" w:rsidRPr="00B20CAB">
        <w:t xml:space="preserve"> </w:t>
      </w:r>
      <w:r w:rsidRPr="007D582C">
        <w:t>2008</w:t>
      </w:r>
      <w:r w:rsidR="006C6B9C">
        <w:t xml:space="preserve"> </w:t>
      </w:r>
      <w:r w:rsidRPr="007D582C">
        <w:t xml:space="preserve">(3) SA </w:t>
      </w:r>
      <w:r w:rsidR="00FB07DD" w:rsidRPr="007D582C">
        <w:t>383</w:t>
      </w:r>
      <w:r w:rsidR="00FB07DD">
        <w:t xml:space="preserve"> (</w:t>
      </w:r>
      <w:r w:rsidR="002A0A3F" w:rsidRPr="002A0A3F">
        <w:t>CC</w:t>
      </w:r>
      <w:r w:rsidR="00FB07DD">
        <w:t>)</w:t>
      </w:r>
      <w:r w:rsidR="00106F01" w:rsidRPr="000A1996">
        <w:t>,</w:t>
      </w:r>
      <w:r w:rsidRPr="002A0A3F">
        <w:t xml:space="preserve"> </w:t>
      </w:r>
      <w:r w:rsidRPr="000A1996">
        <w:t>p</w:t>
      </w:r>
      <w:r w:rsidRPr="007D582C">
        <w:t>ara 57</w:t>
      </w:r>
      <w:r w:rsidR="005A4C35">
        <w:t>.</w:t>
      </w:r>
    </w:p>
  </w:footnote>
  <w:footnote w:id="22">
    <w:p w:rsidR="00D56F65" w:rsidRPr="007736E1" w:rsidRDefault="005C7E67" w:rsidP="007777CD">
      <w:pPr>
        <w:pStyle w:val="FootnoteText"/>
        <w:jc w:val="both"/>
      </w:pPr>
      <w:r w:rsidRPr="007736E1">
        <w:rPr>
          <w:rStyle w:val="FootnoteReference"/>
        </w:rPr>
        <w:footnoteRef/>
      </w:r>
      <w:r w:rsidRPr="007736E1">
        <w:t xml:space="preserve"> It provided that a provincial or local division of the Supreme Court </w:t>
      </w:r>
      <w:r w:rsidR="00D56F65" w:rsidRPr="007736E1">
        <w:t>shall, in addition to any powers or jurisdiction which may be vested in it by law, have power-</w:t>
      </w:r>
    </w:p>
    <w:p w:rsidR="00000000" w:rsidRDefault="00D56F65" w:rsidP="007777CD">
      <w:pPr>
        <w:pStyle w:val="FootnoteText"/>
        <w:jc w:val="both"/>
      </w:pPr>
      <w:r w:rsidRPr="007736E1">
        <w:t xml:space="preserve">‘in its discretion, and at the instance of any interested person, to enquire into and determine any existing, future or contingent right or obligation, notwithstanding that such person cannot claim any relief consequential upon the determination.’ </w:t>
      </w:r>
    </w:p>
  </w:footnote>
  <w:footnote w:id="23">
    <w:p w:rsidR="00000000" w:rsidRDefault="007031CF">
      <w:pPr>
        <w:pStyle w:val="FootnoteText"/>
      </w:pPr>
      <w:r w:rsidRPr="007736E1">
        <w:rPr>
          <w:rStyle w:val="FootnoteReference"/>
        </w:rPr>
        <w:footnoteRef/>
      </w:r>
      <w:r w:rsidRPr="007736E1">
        <w:t xml:space="preserve"> The papers were issued on 7August 2013, before Act 10 of 2013 came into operation.</w:t>
      </w:r>
    </w:p>
  </w:footnote>
  <w:footnote w:id="24">
    <w:p w:rsidR="00000000" w:rsidRDefault="00EC67FE">
      <w:pPr>
        <w:pStyle w:val="FootnoteText"/>
      </w:pPr>
      <w:r w:rsidRPr="007736E1">
        <w:rPr>
          <w:rStyle w:val="FootnoteReference"/>
        </w:rPr>
        <w:footnoteRef/>
      </w:r>
      <w:r w:rsidRPr="007736E1">
        <w:t xml:space="preserve"> See </w:t>
      </w:r>
      <w:r w:rsidR="00F57600" w:rsidRPr="007736E1">
        <w:rPr>
          <w:i/>
        </w:rPr>
        <w:t>Ex Parte Nell</w:t>
      </w:r>
      <w:r w:rsidR="00F57600" w:rsidRPr="007736E1">
        <w:t xml:space="preserve"> 1963 (1) SA 754 (A) at 758E-760C and the relevant cases cited there.</w:t>
      </w:r>
    </w:p>
  </w:footnote>
  <w:footnote w:id="25">
    <w:p w:rsidR="00000000" w:rsidRDefault="00D27118">
      <w:pPr>
        <w:pStyle w:val="FootnoteText"/>
      </w:pPr>
      <w:r w:rsidRPr="007736E1">
        <w:rPr>
          <w:rStyle w:val="FootnoteReference"/>
        </w:rPr>
        <w:footnoteRef/>
      </w:r>
      <w:r w:rsidRPr="007736E1">
        <w:t xml:space="preserve"> </w:t>
      </w:r>
      <w:proofErr w:type="gramStart"/>
      <w:r w:rsidRPr="007736E1">
        <w:t>Para 16 of the judgment.</w:t>
      </w:r>
      <w:proofErr w:type="gramEnd"/>
    </w:p>
  </w:footnote>
  <w:footnote w:id="26">
    <w:p w:rsidR="00000000" w:rsidRDefault="00272DA1" w:rsidP="007777CD">
      <w:pPr>
        <w:pStyle w:val="FootnoteText"/>
        <w:spacing w:after="60"/>
        <w:jc w:val="both"/>
      </w:pPr>
      <w:r>
        <w:rPr>
          <w:rStyle w:val="FootnoteReference"/>
        </w:rPr>
        <w:footnoteRef/>
      </w:r>
      <w:r w:rsidRPr="00495929">
        <w:rPr>
          <w:rStyle w:val="FootnoteReference"/>
        </w:rPr>
        <w:t xml:space="preserve"> </w:t>
      </w:r>
      <w:r w:rsidR="00116847">
        <w:t>‘</w:t>
      </w:r>
      <w:r w:rsidR="00EE213A">
        <w:t xml:space="preserve">City </w:t>
      </w:r>
      <w:r w:rsidR="00F07C91">
        <w:t>of Tshwane Metropolitan Municipa</w:t>
      </w:r>
      <w:r w:rsidR="00EE213A">
        <w:t xml:space="preserve">lity Standard Electricity Supply By-Laws, LAN 1076, </w:t>
      </w:r>
      <w:r w:rsidR="00EE213A" w:rsidRPr="00B62CF7">
        <w:rPr>
          <w:i/>
        </w:rPr>
        <w:t>Gauteng Provincial Gazette</w:t>
      </w:r>
      <w:r w:rsidR="00EE213A">
        <w:rPr>
          <w:i/>
        </w:rPr>
        <w:t xml:space="preserve"> 227, </w:t>
      </w:r>
      <w:r w:rsidR="00EE213A" w:rsidRPr="00B62CF7">
        <w:t>7 August</w:t>
      </w:r>
      <w:r w:rsidR="00EE213A">
        <w:t xml:space="preserve"> 2013.</w:t>
      </w:r>
      <w:r w:rsidR="00324D20">
        <w:t>'</w:t>
      </w:r>
    </w:p>
  </w:footnote>
  <w:footnote w:id="27">
    <w:p w:rsidR="00000000" w:rsidRDefault="00197CF1" w:rsidP="00197CF1">
      <w:pPr>
        <w:pStyle w:val="FootnoteText"/>
        <w:jc w:val="both"/>
      </w:pPr>
      <w:r>
        <w:rPr>
          <w:rStyle w:val="FootnoteReference"/>
        </w:rPr>
        <w:footnoteRef/>
      </w:r>
      <w:r>
        <w:t xml:space="preserve"> </w:t>
      </w:r>
      <w:proofErr w:type="spellStart"/>
      <w:proofErr w:type="gramStart"/>
      <w:r w:rsidRPr="00B62CF7">
        <w:rPr>
          <w:i/>
        </w:rPr>
        <w:t>Rademan</w:t>
      </w:r>
      <w:proofErr w:type="spellEnd"/>
      <w:r w:rsidRPr="00B62CF7">
        <w:rPr>
          <w:i/>
        </w:rPr>
        <w:t xml:space="preserve"> v </w:t>
      </w:r>
      <w:proofErr w:type="spellStart"/>
      <w:r w:rsidRPr="00B62CF7">
        <w:rPr>
          <w:i/>
        </w:rPr>
        <w:t>Moqhaka</w:t>
      </w:r>
      <w:proofErr w:type="spellEnd"/>
      <w:r w:rsidRPr="00B62CF7">
        <w:rPr>
          <w:i/>
        </w:rPr>
        <w:t xml:space="preserve"> Municipality &amp; others</w:t>
      </w:r>
      <w:r>
        <w:t xml:space="preserve"> (173/11) [2011] ZASCA 244 (1 </w:t>
      </w:r>
      <w:r w:rsidR="00CD66FF">
        <w:t>December</w:t>
      </w:r>
      <w:r>
        <w:t xml:space="preserve"> 2011); 2012 (2) SA 387 (SCA)</w:t>
      </w:r>
      <w:r w:rsidR="00CD66FF">
        <w:t>, para 19</w:t>
      </w:r>
      <w:r>
        <w:t>.</w:t>
      </w:r>
      <w:proofErr w:type="gramEnd"/>
    </w:p>
  </w:footnote>
  <w:footnote w:id="28">
    <w:p w:rsidR="00000000" w:rsidRDefault="00E333A5" w:rsidP="00696B12">
      <w:pPr>
        <w:pStyle w:val="FootnoteText"/>
        <w:jc w:val="both"/>
      </w:pPr>
      <w:r>
        <w:rPr>
          <w:rStyle w:val="FootnoteReference"/>
        </w:rPr>
        <w:footnoteRef/>
      </w:r>
      <w:r>
        <w:t xml:space="preserve"> </w:t>
      </w:r>
      <w:proofErr w:type="spellStart"/>
      <w:r w:rsidRPr="007D582C">
        <w:rPr>
          <w:i/>
        </w:rPr>
        <w:t>Biowatch</w:t>
      </w:r>
      <w:proofErr w:type="spellEnd"/>
      <w:r w:rsidRPr="007D582C">
        <w:rPr>
          <w:i/>
        </w:rPr>
        <w:t xml:space="preserve"> Trust v Registrar, Genetic Resources</w:t>
      </w:r>
      <w:r w:rsidR="00563FB2">
        <w:rPr>
          <w:i/>
        </w:rPr>
        <w:t>, &amp; others</w:t>
      </w:r>
      <w:r>
        <w:t xml:space="preserve"> </w:t>
      </w:r>
      <w:r w:rsidR="00563FB2" w:rsidRPr="00563FB2">
        <w:t>(CCT 80/08) [2009] ZACC 14</w:t>
      </w:r>
      <w:r w:rsidR="00563FB2">
        <w:t xml:space="preserve"> </w:t>
      </w:r>
      <w:r w:rsidR="00563FB2" w:rsidRPr="00563FB2">
        <w:t>(3 June 2009)</w:t>
      </w:r>
      <w:r w:rsidR="00563FB2">
        <w:t xml:space="preserve">; </w:t>
      </w:r>
      <w:r>
        <w:t>2009 (6) SA 232 (CC)</w:t>
      </w:r>
      <w:r w:rsidR="00563FB2">
        <w:t xml:space="preserve"> paras 21 - 22</w:t>
      </w:r>
    </w:p>
  </w:footnote>
  <w:footnote w:id="29">
    <w:p w:rsidR="00000000" w:rsidRDefault="0097356F" w:rsidP="0097356F">
      <w:pPr>
        <w:pStyle w:val="FootnoteText"/>
      </w:pPr>
      <w:r w:rsidRPr="00D7528F">
        <w:rPr>
          <w:rStyle w:val="FootnoteReference"/>
        </w:rPr>
        <w:footnoteRef/>
      </w:r>
      <w:r w:rsidRPr="00D7528F">
        <w:t xml:space="preserve"> </w:t>
      </w:r>
      <w:proofErr w:type="gramStart"/>
      <w:r w:rsidRPr="00D7528F">
        <w:rPr>
          <w:rFonts w:cs="Arial"/>
          <w:i/>
        </w:rPr>
        <w:t xml:space="preserve">City of Tshwane Metropolitan Municipality v </w:t>
      </w:r>
      <w:proofErr w:type="spellStart"/>
      <w:r w:rsidRPr="00D7528F">
        <w:rPr>
          <w:rFonts w:cs="Arial"/>
          <w:i/>
        </w:rPr>
        <w:t>Mathabathe</w:t>
      </w:r>
      <w:proofErr w:type="spellEnd"/>
      <w:r w:rsidRPr="00D7528F">
        <w:rPr>
          <w:rFonts w:cs="Arial"/>
          <w:i/>
        </w:rPr>
        <w:t xml:space="preserve"> &amp; another </w:t>
      </w:r>
      <w:r w:rsidRPr="00D7528F">
        <w:rPr>
          <w:rFonts w:cs="Arial"/>
        </w:rPr>
        <w:t>(502/12) [2013] ZASCA 60 (22 May 2013); 2013 (4) SA 319 (SCA).</w:t>
      </w:r>
      <w:proofErr w:type="gramEnd"/>
    </w:p>
  </w:footnote>
  <w:footnote w:id="30">
    <w:p w:rsidR="00000000" w:rsidRDefault="0097356F" w:rsidP="0097356F">
      <w:pPr>
        <w:pStyle w:val="FootnoteText"/>
      </w:pPr>
      <w:r w:rsidRPr="00AA65F0">
        <w:rPr>
          <w:rStyle w:val="FootnoteReference"/>
        </w:rPr>
        <w:footnoteRef/>
      </w:r>
      <w:r w:rsidRPr="00AA65F0">
        <w:rPr>
          <w:rFonts w:cs="Arial"/>
        </w:rPr>
        <w:t xml:space="preserve"> </w:t>
      </w:r>
      <w:proofErr w:type="gramStart"/>
      <w:r w:rsidRPr="00AA65F0">
        <w:rPr>
          <w:rFonts w:cs="Arial"/>
          <w:i/>
        </w:rPr>
        <w:t xml:space="preserve">Natal Joint Municipal Pension Fund v </w:t>
      </w:r>
      <w:proofErr w:type="spellStart"/>
      <w:r w:rsidRPr="00AA65F0">
        <w:rPr>
          <w:rFonts w:cs="Arial"/>
          <w:i/>
        </w:rPr>
        <w:t>Endumeni</w:t>
      </w:r>
      <w:proofErr w:type="spellEnd"/>
      <w:r w:rsidRPr="00AA65F0">
        <w:rPr>
          <w:rFonts w:cs="Arial"/>
          <w:i/>
        </w:rPr>
        <w:t xml:space="preserve"> Municipality </w:t>
      </w:r>
      <w:r w:rsidRPr="003E347C">
        <w:rPr>
          <w:rFonts w:cs="Arial"/>
        </w:rPr>
        <w:t>(920/2010) [2012] ZASCA 13 (16 March 2012); 2012 (4) SA 593 (SCA) para 1</w:t>
      </w:r>
      <w:r>
        <w:rPr>
          <w:rFonts w:cs="Arial"/>
        </w:rPr>
        <w:t>9</w:t>
      </w:r>
      <w:r w:rsidRPr="003E347C">
        <w:rPr>
          <w:rFonts w:cs="Arial"/>
        </w:rPr>
        <w:t>.</w:t>
      </w:r>
      <w:proofErr w:type="gramEnd"/>
    </w:p>
  </w:footnote>
  <w:footnote w:id="31">
    <w:p w:rsidR="00000000" w:rsidRDefault="0097356F" w:rsidP="0097356F">
      <w:pPr>
        <w:pStyle w:val="FootnoteText"/>
      </w:pPr>
      <w:r w:rsidRPr="003E347C">
        <w:rPr>
          <w:rStyle w:val="FootnoteReference"/>
        </w:rPr>
        <w:footnoteRef/>
      </w:r>
      <w:r w:rsidRPr="003E347C">
        <w:rPr>
          <w:vertAlign w:val="superscript"/>
        </w:rPr>
        <w:t xml:space="preserve"> </w:t>
      </w:r>
      <w:proofErr w:type="spellStart"/>
      <w:proofErr w:type="gramStart"/>
      <w:r w:rsidRPr="003E347C">
        <w:rPr>
          <w:i/>
        </w:rPr>
        <w:t>Manyasha</w:t>
      </w:r>
      <w:proofErr w:type="spellEnd"/>
      <w:r w:rsidRPr="003E347C">
        <w:rPr>
          <w:i/>
        </w:rPr>
        <w:t xml:space="preserve"> v Minister of Law and Order</w:t>
      </w:r>
      <w:r w:rsidRPr="003E347C">
        <w:t xml:space="preserve"> (113/97) </w:t>
      </w:r>
      <w:r>
        <w:t xml:space="preserve">[1998] ZASCA 112 </w:t>
      </w:r>
      <w:r w:rsidRPr="003E347C">
        <w:t>(27 November 1998)</w:t>
      </w:r>
      <w:r>
        <w:t>; 1999 (2) SA 179 (SCA) at 185A-D.</w:t>
      </w:r>
      <w:proofErr w:type="gramEnd"/>
    </w:p>
  </w:footnote>
  <w:footnote w:id="32">
    <w:p w:rsidR="00000000" w:rsidRDefault="0097356F" w:rsidP="0097356F">
      <w:pPr>
        <w:pStyle w:val="FootnoteText"/>
      </w:pPr>
      <w:r w:rsidRPr="00E771FA">
        <w:rPr>
          <w:rStyle w:val="FootnoteReference"/>
        </w:rPr>
        <w:footnoteRef/>
      </w:r>
      <w:r>
        <w:t xml:space="preserve"> </w:t>
      </w:r>
      <w:proofErr w:type="gramStart"/>
      <w:r w:rsidRPr="00E771FA">
        <w:rPr>
          <w:i/>
        </w:rPr>
        <w:t xml:space="preserve">Bastian Financial Services (Pty) Ltd v General Hendrik </w:t>
      </w:r>
      <w:proofErr w:type="spellStart"/>
      <w:r w:rsidRPr="00E771FA">
        <w:rPr>
          <w:i/>
        </w:rPr>
        <w:t>Schoeman</w:t>
      </w:r>
      <w:proofErr w:type="spellEnd"/>
      <w:r w:rsidRPr="00E771FA">
        <w:rPr>
          <w:i/>
        </w:rPr>
        <w:t xml:space="preserve"> Primary School</w:t>
      </w:r>
      <w:r w:rsidRPr="003E347C">
        <w:t xml:space="preserve"> (207/07) [2008] ZASCA 70</w:t>
      </w:r>
      <w:r>
        <w:t xml:space="preserve"> </w:t>
      </w:r>
      <w:r w:rsidRPr="003E347C">
        <w:t>(30 May 2008)</w:t>
      </w:r>
      <w:r>
        <w:t>;</w:t>
      </w:r>
      <w:r w:rsidRPr="003E347C">
        <w:t xml:space="preserve"> 2008 (5) SA 1 (SCA)</w:t>
      </w:r>
      <w:r>
        <w:t>.</w:t>
      </w:r>
      <w:proofErr w:type="gramEnd"/>
    </w:p>
  </w:footnote>
  <w:footnote w:id="33">
    <w:p w:rsidR="00000000" w:rsidRDefault="0097356F" w:rsidP="0097356F">
      <w:pPr>
        <w:pStyle w:val="FootnoteText"/>
      </w:pPr>
      <w:r w:rsidRPr="009C49BB">
        <w:rPr>
          <w:rStyle w:val="FootnoteReference"/>
        </w:rPr>
        <w:footnoteRef/>
      </w:r>
      <w:r w:rsidRPr="009C49BB">
        <w:rPr>
          <w:vertAlign w:val="superscript"/>
        </w:rPr>
        <w:t xml:space="preserve"> </w:t>
      </w:r>
      <w:proofErr w:type="gramStart"/>
      <w:r w:rsidRPr="00AA65F0">
        <w:rPr>
          <w:rFonts w:cs="Arial"/>
          <w:i/>
        </w:rPr>
        <w:t xml:space="preserve">Natal Joint Municipal Pension Fund v </w:t>
      </w:r>
      <w:proofErr w:type="spellStart"/>
      <w:r w:rsidRPr="00AA65F0">
        <w:rPr>
          <w:rFonts w:cs="Arial"/>
          <w:i/>
        </w:rPr>
        <w:t>Endumeni</w:t>
      </w:r>
      <w:proofErr w:type="spellEnd"/>
      <w:r w:rsidRPr="00AA65F0">
        <w:rPr>
          <w:rFonts w:cs="Arial"/>
          <w:i/>
        </w:rPr>
        <w:t xml:space="preserve"> Municipality </w:t>
      </w:r>
      <w:r w:rsidRPr="003E347C">
        <w:rPr>
          <w:rFonts w:cs="Arial"/>
        </w:rPr>
        <w:t>(920/2010) [2012] ZASCA 13 (16 March 2012); 2012 (4) SA 593 (SCA)</w:t>
      </w:r>
      <w:r>
        <w:rPr>
          <w:rFonts w:cs="Arial"/>
        </w:rPr>
        <w:t>.</w:t>
      </w:r>
      <w:proofErr w:type="gramEnd"/>
    </w:p>
  </w:footnote>
  <w:footnote w:id="34">
    <w:p w:rsidR="00000000" w:rsidRDefault="0097356F" w:rsidP="0097356F">
      <w:pPr>
        <w:pStyle w:val="FootnoteText"/>
      </w:pPr>
      <w:r w:rsidRPr="009C49BB">
        <w:rPr>
          <w:rStyle w:val="FootnoteReference"/>
        </w:rPr>
        <w:footnoteRef/>
      </w:r>
      <w:r w:rsidRPr="009C49BB">
        <w:rPr>
          <w:rFonts w:cs="Arial"/>
        </w:rPr>
        <w:t xml:space="preserve"> </w:t>
      </w:r>
      <w:proofErr w:type="gramStart"/>
      <w:r w:rsidRPr="009C49BB">
        <w:rPr>
          <w:rFonts w:cs="Arial"/>
          <w:i/>
        </w:rPr>
        <w:t xml:space="preserve">City of Cape Town v Real People Housing (Pty) Ltd </w:t>
      </w:r>
      <w:r w:rsidRPr="009C49BB">
        <w:rPr>
          <w:rFonts w:cs="Arial"/>
        </w:rPr>
        <w:t>(77/09) [2009] ZASCA 159 (30 November 2009); 2010 (5) SA 196 (SCA) para 1.</w:t>
      </w:r>
      <w:proofErr w:type="gramEnd"/>
    </w:p>
  </w:footnote>
  <w:footnote w:id="35">
    <w:p w:rsidR="00000000" w:rsidRDefault="0097356F" w:rsidP="0097356F">
      <w:pPr>
        <w:pStyle w:val="FootnoteText"/>
      </w:pPr>
      <w:r w:rsidRPr="009C49BB">
        <w:rPr>
          <w:rStyle w:val="FootnoteReference"/>
        </w:rPr>
        <w:footnoteRef/>
      </w:r>
      <w:r w:rsidRPr="009C49BB">
        <w:rPr>
          <w:rFonts w:cs="Arial"/>
        </w:rPr>
        <w:t xml:space="preserve"> </w:t>
      </w:r>
      <w:proofErr w:type="gramStart"/>
      <w:r w:rsidRPr="009C49BB">
        <w:rPr>
          <w:rFonts w:cs="Arial"/>
        </w:rPr>
        <w:t xml:space="preserve">Credit Control By-Laws, Local Authority Notice 226, </w:t>
      </w:r>
      <w:r w:rsidRPr="009C49BB">
        <w:rPr>
          <w:rFonts w:cs="Arial"/>
          <w:i/>
        </w:rPr>
        <w:t>Gauteng Provincial Gazette</w:t>
      </w:r>
      <w:r w:rsidRPr="009C49BB">
        <w:rPr>
          <w:rFonts w:cs="Arial"/>
        </w:rPr>
        <w:t xml:space="preserve"> 44, 27 February 2002.</w:t>
      </w:r>
      <w:proofErr w:type="gramEnd"/>
    </w:p>
  </w:footnote>
  <w:footnote w:id="36">
    <w:p w:rsidR="00000000" w:rsidRDefault="0097356F" w:rsidP="0097356F">
      <w:pPr>
        <w:pStyle w:val="FootnoteText"/>
      </w:pPr>
      <w:r w:rsidRPr="009C49BB">
        <w:rPr>
          <w:rStyle w:val="FootnoteReference"/>
        </w:rPr>
        <w:footnoteRef/>
      </w:r>
      <w:r w:rsidRPr="009C49BB">
        <w:rPr>
          <w:rFonts w:cs="Arial"/>
        </w:rPr>
        <w:t xml:space="preserve"> Water Supply By-Laws, Local Authority Notice 2267, </w:t>
      </w:r>
      <w:r w:rsidRPr="009C49BB">
        <w:rPr>
          <w:rFonts w:cs="Arial"/>
          <w:i/>
        </w:rPr>
        <w:t>Gauteng Provincial Gazette</w:t>
      </w:r>
      <w:r w:rsidRPr="009C49BB">
        <w:rPr>
          <w:rFonts w:cs="Arial"/>
        </w:rPr>
        <w:t xml:space="preserve"> 801, 5 November 2003.</w:t>
      </w:r>
    </w:p>
  </w:footnote>
  <w:footnote w:id="37">
    <w:p w:rsidR="00000000" w:rsidRDefault="0097356F" w:rsidP="0097356F">
      <w:pPr>
        <w:pStyle w:val="FootnoteText"/>
      </w:pPr>
      <w:r w:rsidRPr="009C49BB">
        <w:rPr>
          <w:rStyle w:val="FootnoteReference"/>
        </w:rPr>
        <w:footnoteRef/>
      </w:r>
      <w:r w:rsidRPr="009C49BB">
        <w:rPr>
          <w:rFonts w:cs="Arial"/>
          <w:vertAlign w:val="superscript"/>
        </w:rPr>
        <w:t xml:space="preserve"> </w:t>
      </w:r>
      <w:r w:rsidRPr="008D781F">
        <w:rPr>
          <w:rFonts w:cs="Arial"/>
        </w:rPr>
        <w:t xml:space="preserve">Standard Electricity By-Laws, Local Authority Notice </w:t>
      </w:r>
      <w:r w:rsidRPr="009C49BB">
        <w:rPr>
          <w:rFonts w:cs="Arial"/>
        </w:rPr>
        <w:t>1132</w:t>
      </w:r>
      <w:r w:rsidRPr="008D781F">
        <w:rPr>
          <w:rFonts w:cs="Arial"/>
        </w:rPr>
        <w:t xml:space="preserve">, </w:t>
      </w:r>
      <w:r w:rsidRPr="009C49BB">
        <w:rPr>
          <w:rFonts w:cs="Arial"/>
          <w:i/>
        </w:rPr>
        <w:t>Gauteng Provincial Gazette Extraordinary</w:t>
      </w:r>
      <w:r w:rsidRPr="008D781F">
        <w:rPr>
          <w:rFonts w:cs="Arial"/>
        </w:rPr>
        <w:t xml:space="preserve"> 234, </w:t>
      </w:r>
      <w:r w:rsidRPr="009C49BB">
        <w:rPr>
          <w:rFonts w:cs="Arial"/>
        </w:rPr>
        <w:t xml:space="preserve">25 </w:t>
      </w:r>
      <w:r w:rsidRPr="008D781F">
        <w:rPr>
          <w:rFonts w:cs="Arial"/>
        </w:rPr>
        <w:t>June 2003.</w:t>
      </w:r>
    </w:p>
  </w:footnote>
  <w:footnote w:id="38">
    <w:p w:rsidR="00000000" w:rsidRDefault="0097356F" w:rsidP="0097356F">
      <w:pPr>
        <w:pStyle w:val="FootnoteText"/>
      </w:pPr>
      <w:r w:rsidRPr="009C49BB">
        <w:rPr>
          <w:rStyle w:val="FootnoteReference"/>
        </w:rPr>
        <w:footnoteRef/>
      </w:r>
      <w:r w:rsidRPr="008D781F">
        <w:rPr>
          <w:rFonts w:cs="Arial"/>
        </w:rPr>
        <w:t xml:space="preserve"> </w:t>
      </w:r>
      <w:proofErr w:type="gramStart"/>
      <w:r w:rsidRPr="009C49BB">
        <w:rPr>
          <w:rFonts w:cs="Arial"/>
          <w:i/>
        </w:rPr>
        <w:t>BOE Bank Ltd v Tshwane Metropolitan Municipality</w:t>
      </w:r>
      <w:r w:rsidRPr="008D781F">
        <w:rPr>
          <w:rFonts w:cs="Arial"/>
        </w:rPr>
        <w:t xml:space="preserve"> (240/2003) [2005] ZASCA 21 (29 March 2005); 2005 (4) SA 336 (SCA).</w:t>
      </w:r>
      <w:proofErr w:type="gramEnd"/>
    </w:p>
  </w:footnote>
  <w:footnote w:id="39">
    <w:p w:rsidR="00000000" w:rsidRDefault="0097356F" w:rsidP="0097356F">
      <w:pPr>
        <w:pStyle w:val="FootnoteText"/>
      </w:pPr>
      <w:r w:rsidRPr="009C49BB">
        <w:rPr>
          <w:rStyle w:val="FootnoteReference"/>
        </w:rPr>
        <w:footnoteRef/>
      </w:r>
      <w:r w:rsidRPr="009C49BB">
        <w:rPr>
          <w:rFonts w:cs="Arial"/>
        </w:rPr>
        <w:t xml:space="preserve"> </w:t>
      </w:r>
      <w:r w:rsidRPr="009C49BB">
        <w:rPr>
          <w:rFonts w:cs="Arial"/>
          <w:i/>
        </w:rPr>
        <w:t xml:space="preserve">BOE Bank v Tshwane </w:t>
      </w:r>
      <w:r w:rsidRPr="009C49BB">
        <w:rPr>
          <w:rFonts w:cs="Arial"/>
        </w:rPr>
        <w:t xml:space="preserve">para 7, relying on inter alia </w:t>
      </w:r>
      <w:proofErr w:type="spellStart"/>
      <w:r w:rsidRPr="009C49BB">
        <w:rPr>
          <w:rFonts w:cs="Arial"/>
          <w:i/>
        </w:rPr>
        <w:t>Rabie</w:t>
      </w:r>
      <w:proofErr w:type="spellEnd"/>
      <w:r w:rsidRPr="009C49BB">
        <w:rPr>
          <w:rFonts w:cs="Arial"/>
          <w:i/>
        </w:rPr>
        <w:t xml:space="preserve"> v Rand Township Registrar </w:t>
      </w:r>
      <w:r w:rsidRPr="009C49BB">
        <w:rPr>
          <w:rFonts w:cs="Arial"/>
        </w:rPr>
        <w:t xml:space="preserve">1926 TPD 286 at 290.  </w:t>
      </w:r>
    </w:p>
  </w:footnote>
  <w:footnote w:id="40">
    <w:p w:rsidR="00000000" w:rsidRDefault="0097356F" w:rsidP="0097356F">
      <w:pPr>
        <w:pStyle w:val="FootnoteText"/>
      </w:pPr>
      <w:r w:rsidRPr="009C49BB">
        <w:rPr>
          <w:rStyle w:val="FootnoteReference"/>
        </w:rPr>
        <w:footnoteRef/>
      </w:r>
      <w:r w:rsidRPr="009C49BB">
        <w:rPr>
          <w:rFonts w:cs="Arial"/>
        </w:rPr>
        <w:t xml:space="preserve"> </w:t>
      </w:r>
      <w:proofErr w:type="gramStart"/>
      <w:r w:rsidRPr="009C49BB">
        <w:rPr>
          <w:rFonts w:cs="Arial"/>
          <w:i/>
        </w:rPr>
        <w:t>City of Johannesburg v Kaplan NO &amp; another</w:t>
      </w:r>
      <w:r w:rsidRPr="009C49BB">
        <w:rPr>
          <w:rFonts w:cs="Arial"/>
        </w:rPr>
        <w:t xml:space="preserve"> (111/05) [2006] ZASCA 39 (29 March 2006);</w:t>
      </w:r>
      <w:r w:rsidRPr="009C49BB">
        <w:rPr>
          <w:rFonts w:cs="Arial"/>
          <w:i/>
        </w:rPr>
        <w:t xml:space="preserve"> </w:t>
      </w:r>
      <w:r w:rsidRPr="009C49BB">
        <w:rPr>
          <w:rFonts w:cs="Arial"/>
        </w:rPr>
        <w:t xml:space="preserve">2006 (5) SA </w:t>
      </w:r>
      <w:r w:rsidRPr="00E76306">
        <w:rPr>
          <w:rFonts w:cs="Arial"/>
        </w:rPr>
        <w:t xml:space="preserve">10 (SCA); </w:t>
      </w:r>
      <w:r w:rsidRPr="00E76306">
        <w:rPr>
          <w:rFonts w:cs="Arial"/>
          <w:i/>
        </w:rPr>
        <w:t xml:space="preserve">City of Tshwane Metropolitan Municipality v </w:t>
      </w:r>
      <w:proofErr w:type="spellStart"/>
      <w:r w:rsidRPr="00E76306">
        <w:rPr>
          <w:rFonts w:cs="Arial"/>
          <w:i/>
        </w:rPr>
        <w:t>Mathabathe</w:t>
      </w:r>
      <w:proofErr w:type="spellEnd"/>
      <w:r w:rsidRPr="00E76306">
        <w:rPr>
          <w:rFonts w:cs="Arial"/>
          <w:i/>
        </w:rPr>
        <w:t xml:space="preserve"> &amp; another </w:t>
      </w:r>
      <w:r w:rsidRPr="00E76306">
        <w:rPr>
          <w:rFonts w:cs="Arial"/>
        </w:rPr>
        <w:t>(502/12) [2013] ZASCA 60 (22 May 2013); 2013 (4) SA 319 (SCA) para 10.</w:t>
      </w:r>
      <w:proofErr w:type="gramEnd"/>
    </w:p>
  </w:footnote>
  <w:footnote w:id="41">
    <w:p w:rsidR="0097356F" w:rsidRPr="00E76306" w:rsidRDefault="0097356F" w:rsidP="0097356F">
      <w:pPr>
        <w:pStyle w:val="FootnoteText"/>
        <w:jc w:val="both"/>
        <w:rPr>
          <w:rFonts w:cs="Arial"/>
        </w:rPr>
      </w:pPr>
      <w:r w:rsidRPr="00E76306">
        <w:rPr>
          <w:rStyle w:val="FootnoteReference"/>
        </w:rPr>
        <w:footnoteRef/>
      </w:r>
      <w:r w:rsidRPr="00E76306">
        <w:rPr>
          <w:rFonts w:cs="Arial"/>
        </w:rPr>
        <w:t xml:space="preserve"> Section 50(1) provided:</w:t>
      </w:r>
    </w:p>
    <w:p w:rsidR="0097356F" w:rsidRPr="00E76306" w:rsidRDefault="0097356F" w:rsidP="0097356F">
      <w:pPr>
        <w:pStyle w:val="FootnoteText"/>
        <w:jc w:val="both"/>
        <w:rPr>
          <w:rFonts w:cs="Arial"/>
        </w:rPr>
      </w:pPr>
      <w:r w:rsidRPr="00E76306">
        <w:rPr>
          <w:rFonts w:cs="Arial"/>
        </w:rPr>
        <w:t>‘No transfer of any land or of any right in land as defined in section 1 of the Local Authorities Rating Ordinance, 1977, within a municipality shall be registered before any registration officer until a written statement in the form set out in the Third Schedule to this Ordinance and signed and certified by the town clerk or other officer authorized thereto by the council, shall be produced to such registration officer, and unless such statement shows-</w:t>
      </w:r>
    </w:p>
    <w:p w:rsidR="0097356F" w:rsidRPr="00E76306" w:rsidRDefault="0097356F" w:rsidP="0097356F">
      <w:pPr>
        <w:pStyle w:val="FootnoteText"/>
        <w:jc w:val="both"/>
        <w:rPr>
          <w:rFonts w:cs="Arial"/>
        </w:rPr>
      </w:pPr>
      <w:r w:rsidRPr="00E76306">
        <w:rPr>
          <w:rFonts w:cs="Arial"/>
          <w:i/>
        </w:rPr>
        <w:t>(a)</w:t>
      </w:r>
      <w:r w:rsidRPr="00E76306">
        <w:rPr>
          <w:rFonts w:cs="Arial"/>
          <w:i/>
        </w:rPr>
        <w:tab/>
      </w:r>
      <w:r w:rsidRPr="00E76306">
        <w:rPr>
          <w:rFonts w:cs="Arial"/>
        </w:rPr>
        <w:t>that all amounts for a period of three years immediately preceding the date of such registration due in respect of such land or right in land for sanitary services or so due as basic charges for water or as other costs for water where any water closet system on the ground is concerned has been installed or so due as basic charges for electricity in terms of the provisions of this Ordinance or any by-law or regulations;</w:t>
      </w:r>
    </w:p>
    <w:p w:rsidR="0097356F" w:rsidRDefault="0097356F" w:rsidP="0097356F">
      <w:pPr>
        <w:pStyle w:val="FootnoteText"/>
        <w:jc w:val="both"/>
        <w:rPr>
          <w:rFonts w:cs="Arial"/>
        </w:rPr>
      </w:pPr>
      <w:r w:rsidRPr="00E76306">
        <w:rPr>
          <w:rFonts w:cs="Arial"/>
          <w:i/>
        </w:rPr>
        <w:t>(b)</w:t>
      </w:r>
      <w:r w:rsidRPr="00E76306">
        <w:rPr>
          <w:rFonts w:cs="Arial"/>
          <w:i/>
        </w:rPr>
        <w:tab/>
      </w:r>
      <w:r w:rsidRPr="00E76306">
        <w:rPr>
          <w:rFonts w:cs="Arial"/>
        </w:rPr>
        <w:t>that all amounts, if any, for a period of three years immediately preceding the date of such registration due in respect of such land or right in land for rates levied in terms of the provisions of the Local Authorities Rating Ordinance, 1977, or in terms of the provisions of any prior Ordinance;</w:t>
      </w:r>
    </w:p>
    <w:p w:rsidR="0097356F" w:rsidRPr="00E76306" w:rsidRDefault="0097356F" w:rsidP="0097356F">
      <w:pPr>
        <w:pStyle w:val="FootnoteText"/>
        <w:jc w:val="both"/>
        <w:rPr>
          <w:rFonts w:cs="Arial"/>
        </w:rPr>
      </w:pPr>
      <w:r>
        <w:rPr>
          <w:rFonts w:cs="Arial"/>
        </w:rPr>
        <w:t>. . .</w:t>
      </w:r>
    </w:p>
    <w:p w:rsidR="00000000" w:rsidRDefault="0097356F" w:rsidP="0097356F">
      <w:pPr>
        <w:pStyle w:val="FootnoteText"/>
        <w:jc w:val="both"/>
      </w:pPr>
      <w:r>
        <w:rPr>
          <w:rFonts w:cs="Arial"/>
        </w:rPr>
        <w:t>h</w:t>
      </w:r>
      <w:r w:rsidRPr="00E76306">
        <w:rPr>
          <w:rFonts w:cs="Arial"/>
        </w:rPr>
        <w:t>ave been paid to the council: Provided that, in the case of the transfer of immovable property by a trustee of an insolvent estate, the provisions of this section shall be applied subject to the provisions of section 89 of the Insolvency Act, 1936 (Act 24 of 1936) . . .’</w:t>
      </w:r>
    </w:p>
  </w:footnote>
  <w:footnote w:id="42">
    <w:p w:rsidR="0097356F" w:rsidRPr="00E76306" w:rsidRDefault="0097356F" w:rsidP="0097356F">
      <w:pPr>
        <w:pStyle w:val="FootnoteText"/>
        <w:jc w:val="both"/>
        <w:rPr>
          <w:rFonts w:cs="Arial"/>
        </w:rPr>
      </w:pPr>
      <w:r w:rsidRPr="00E76306">
        <w:rPr>
          <w:rStyle w:val="FootnoteReference"/>
        </w:rPr>
        <w:footnoteRef/>
      </w:r>
      <w:r w:rsidRPr="00E76306">
        <w:rPr>
          <w:rFonts w:cs="Arial"/>
          <w:vertAlign w:val="superscript"/>
        </w:rPr>
        <w:t xml:space="preserve"> </w:t>
      </w:r>
      <w:r w:rsidRPr="00E76306">
        <w:rPr>
          <w:rFonts w:cs="Arial"/>
        </w:rPr>
        <w:t>Section 50(3) provided:</w:t>
      </w:r>
    </w:p>
    <w:p w:rsidR="00000000" w:rsidRDefault="0097356F" w:rsidP="0097356F">
      <w:pPr>
        <w:pStyle w:val="FootnoteText"/>
        <w:jc w:val="both"/>
      </w:pPr>
      <w:r w:rsidRPr="00E76306">
        <w:rPr>
          <w:rFonts w:cs="Arial"/>
        </w:rPr>
        <w:t xml:space="preserve">‘Any amount due in terms of paragraph </w:t>
      </w:r>
      <w:r w:rsidRPr="00E76306">
        <w:rPr>
          <w:rFonts w:cs="Arial"/>
          <w:i/>
        </w:rPr>
        <w:t>(a)</w:t>
      </w:r>
      <w:r w:rsidRPr="00E76306">
        <w:rPr>
          <w:rFonts w:cs="Arial"/>
        </w:rPr>
        <w:t xml:space="preserve">, </w:t>
      </w:r>
      <w:r w:rsidRPr="00E76306">
        <w:rPr>
          <w:rFonts w:cs="Arial"/>
          <w:i/>
        </w:rPr>
        <w:t>(b)</w:t>
      </w:r>
      <w:r w:rsidRPr="00E76306">
        <w:rPr>
          <w:rFonts w:cs="Arial"/>
        </w:rPr>
        <w:t xml:space="preserve"> . . . of subsection (1) shall be a charge upon the land or right in land in respect of which such amount is owing and shall, subject to the provisions of section 142 (6), be </w:t>
      </w:r>
      <w:proofErr w:type="spellStart"/>
      <w:r w:rsidRPr="00E76306">
        <w:rPr>
          <w:rFonts w:cs="Arial"/>
        </w:rPr>
        <w:t>preferent</w:t>
      </w:r>
      <w:proofErr w:type="spellEnd"/>
      <w:r w:rsidRPr="00E76306">
        <w:rPr>
          <w:rFonts w:cs="Arial"/>
        </w:rPr>
        <w:t xml:space="preserve"> to any mortgage bond registered against such land or right in land subsequent to the coming into operation of this Ordinance.’</w:t>
      </w:r>
    </w:p>
  </w:footnote>
  <w:footnote w:id="43">
    <w:p w:rsidR="00000000" w:rsidRDefault="0097356F" w:rsidP="0097356F">
      <w:pPr>
        <w:pStyle w:val="FootnoteText"/>
      </w:pPr>
      <w:r w:rsidRPr="00E76306">
        <w:rPr>
          <w:rStyle w:val="FootnoteReference"/>
        </w:rPr>
        <w:footnoteRef/>
      </w:r>
      <w:r w:rsidRPr="008D781F">
        <w:rPr>
          <w:rFonts w:cs="Arial"/>
        </w:rPr>
        <w:t xml:space="preserve"> </w:t>
      </w:r>
      <w:proofErr w:type="spellStart"/>
      <w:r w:rsidRPr="00E76306">
        <w:rPr>
          <w:rFonts w:cs="Arial"/>
        </w:rPr>
        <w:t>Voet</w:t>
      </w:r>
      <w:proofErr w:type="spellEnd"/>
      <w:r w:rsidRPr="00E76306">
        <w:rPr>
          <w:rFonts w:cs="Arial"/>
        </w:rPr>
        <w:t xml:space="preserve"> 20.1.13 (Translated by Percival </w:t>
      </w:r>
      <w:proofErr w:type="spellStart"/>
      <w:r w:rsidRPr="00E76306">
        <w:rPr>
          <w:rFonts w:cs="Arial"/>
        </w:rPr>
        <w:t>Gane</w:t>
      </w:r>
      <w:proofErr w:type="spellEnd"/>
      <w:r w:rsidRPr="00E76306">
        <w:rPr>
          <w:rFonts w:cs="Arial"/>
        </w:rPr>
        <w:t>, 1956) at 488-489</w:t>
      </w:r>
      <w:r>
        <w:rPr>
          <w:rFonts w:cs="Arial"/>
        </w:rPr>
        <w:t>.</w:t>
      </w:r>
    </w:p>
  </w:footnote>
  <w:footnote w:id="44">
    <w:p w:rsidR="00000000" w:rsidRDefault="0097356F" w:rsidP="0097356F">
      <w:pPr>
        <w:pStyle w:val="FootnoteText"/>
      </w:pPr>
      <w:r w:rsidRPr="00E76306">
        <w:rPr>
          <w:rStyle w:val="FootnoteReference"/>
        </w:rPr>
        <w:footnoteRef/>
      </w:r>
      <w:r w:rsidRPr="008D781F">
        <w:rPr>
          <w:rFonts w:cs="Arial"/>
        </w:rPr>
        <w:t xml:space="preserve"> Ibid</w:t>
      </w:r>
      <w:r>
        <w:rPr>
          <w:rFonts w:cs="Arial"/>
        </w:rPr>
        <w:t>.</w:t>
      </w:r>
    </w:p>
  </w:footnote>
  <w:footnote w:id="45">
    <w:p w:rsidR="00000000" w:rsidRDefault="0097356F" w:rsidP="0097356F">
      <w:pPr>
        <w:pStyle w:val="FootnoteText"/>
      </w:pPr>
      <w:r w:rsidRPr="00AD6F8B">
        <w:rPr>
          <w:rStyle w:val="FootnoteReference"/>
        </w:rPr>
        <w:footnoteRef/>
      </w:r>
      <w:r w:rsidRPr="00AD6F8B">
        <w:rPr>
          <w:rFonts w:cs="Arial"/>
        </w:rPr>
        <w:t xml:space="preserve"> </w:t>
      </w:r>
      <w:proofErr w:type="spellStart"/>
      <w:proofErr w:type="gramStart"/>
      <w:r w:rsidRPr="00AD6F8B">
        <w:rPr>
          <w:rFonts w:cs="Arial"/>
          <w:i/>
        </w:rPr>
        <w:t>Ngqukumba</w:t>
      </w:r>
      <w:proofErr w:type="spellEnd"/>
      <w:r w:rsidRPr="00AD6F8B">
        <w:rPr>
          <w:rFonts w:cs="Arial"/>
          <w:i/>
        </w:rPr>
        <w:t xml:space="preserve"> v Minister of Safety and Security &amp; others</w:t>
      </w:r>
      <w:r w:rsidRPr="00AD6F8B">
        <w:rPr>
          <w:rFonts w:cs="Arial"/>
        </w:rPr>
        <w:t xml:space="preserve"> (CCT 87/13) [2014</w:t>
      </w:r>
      <w:r>
        <w:rPr>
          <w:rFonts w:cs="Arial"/>
        </w:rPr>
        <w:t>] ZACC 1</w:t>
      </w:r>
      <w:r w:rsidRPr="00AD6F8B">
        <w:rPr>
          <w:rFonts w:cs="Arial"/>
        </w:rPr>
        <w:t>4 (15 May 2014</w:t>
      </w:r>
      <w:r>
        <w:rPr>
          <w:rFonts w:cs="Arial"/>
        </w:rPr>
        <w:t>)</w:t>
      </w:r>
      <w:r w:rsidRPr="00AD6F8B">
        <w:rPr>
          <w:rFonts w:cs="Arial"/>
        </w:rPr>
        <w:t>;</w:t>
      </w:r>
      <w:r w:rsidRPr="00AD6F8B">
        <w:rPr>
          <w:rFonts w:cs="Arial"/>
          <w:i/>
        </w:rPr>
        <w:t xml:space="preserve"> </w:t>
      </w:r>
      <w:r w:rsidRPr="00AD6F8B">
        <w:rPr>
          <w:rFonts w:cs="Arial"/>
        </w:rPr>
        <w:t>2014 (5) SA 112 (CC) para 16.</w:t>
      </w:r>
      <w:proofErr w:type="gramEnd"/>
    </w:p>
  </w:footnote>
  <w:footnote w:id="46">
    <w:p w:rsidR="0097356F" w:rsidRPr="00AD6F8B" w:rsidRDefault="0097356F" w:rsidP="0097356F">
      <w:pPr>
        <w:pStyle w:val="FootnoteText"/>
        <w:jc w:val="both"/>
        <w:rPr>
          <w:rFonts w:cs="Arial"/>
        </w:rPr>
      </w:pPr>
      <w:r w:rsidRPr="00AD6F8B">
        <w:rPr>
          <w:rStyle w:val="FootnoteReference"/>
        </w:rPr>
        <w:footnoteRef/>
      </w:r>
      <w:r w:rsidRPr="00AD6F8B">
        <w:rPr>
          <w:rFonts w:cs="Arial"/>
        </w:rPr>
        <w:t xml:space="preserve"> Rule 46(5)(a) provides:</w:t>
      </w:r>
    </w:p>
    <w:p w:rsidR="0097356F" w:rsidRPr="00AD6F8B" w:rsidRDefault="0097356F" w:rsidP="0097356F">
      <w:pPr>
        <w:pStyle w:val="FootnoteText"/>
        <w:jc w:val="both"/>
        <w:rPr>
          <w:rFonts w:cs="Arial"/>
        </w:rPr>
      </w:pPr>
      <w:r w:rsidRPr="00AD6F8B">
        <w:rPr>
          <w:rFonts w:cs="Arial"/>
        </w:rPr>
        <w:t xml:space="preserve">(5) No immovable property which is subject to any claim </w:t>
      </w:r>
      <w:proofErr w:type="spellStart"/>
      <w:r w:rsidRPr="00AD6F8B">
        <w:rPr>
          <w:rFonts w:cs="Arial"/>
        </w:rPr>
        <w:t>preferent</w:t>
      </w:r>
      <w:proofErr w:type="spellEnd"/>
      <w:r w:rsidRPr="00AD6F8B">
        <w:rPr>
          <w:rFonts w:cs="Arial"/>
        </w:rPr>
        <w:t xml:space="preserve"> to that of the execution creditor shall be sold in execution unless ─</w:t>
      </w:r>
    </w:p>
    <w:p w:rsidR="0097356F" w:rsidRPr="00AD6F8B" w:rsidRDefault="0097356F" w:rsidP="0097356F">
      <w:pPr>
        <w:pStyle w:val="FootnoteText"/>
        <w:jc w:val="both"/>
        <w:rPr>
          <w:rFonts w:cs="Arial"/>
        </w:rPr>
      </w:pPr>
      <w:r w:rsidRPr="00AD6F8B">
        <w:rPr>
          <w:rFonts w:cs="Arial"/>
        </w:rPr>
        <w:t>(a)</w:t>
      </w:r>
      <w:r w:rsidRPr="00AD6F8B">
        <w:rPr>
          <w:rFonts w:cs="Arial"/>
        </w:rPr>
        <w:tab/>
        <w:t xml:space="preserve">the execution creditor has caused notice, in writing, of the intended sale to be served by registered post upon the </w:t>
      </w:r>
      <w:proofErr w:type="spellStart"/>
      <w:r w:rsidRPr="00AD6F8B">
        <w:rPr>
          <w:rFonts w:cs="Arial"/>
        </w:rPr>
        <w:t>preferent</w:t>
      </w:r>
      <w:proofErr w:type="spellEnd"/>
      <w:r w:rsidRPr="00AD6F8B">
        <w:rPr>
          <w:rFonts w:cs="Arial"/>
        </w:rPr>
        <w:t xml:space="preserve"> creditor, if his address is known and, if the property is rateable, upon the local authority concerned calling upon them to stipulate within ten days of a date to be stated a reasonable reserve price or to agree in writing to a sale without reserve; and has provided proof to the sheriff that the </w:t>
      </w:r>
      <w:proofErr w:type="spellStart"/>
      <w:r w:rsidRPr="00AD6F8B">
        <w:rPr>
          <w:rFonts w:cs="Arial"/>
        </w:rPr>
        <w:t>preferent</w:t>
      </w:r>
      <w:proofErr w:type="spellEnd"/>
      <w:r w:rsidRPr="00AD6F8B">
        <w:rPr>
          <w:rFonts w:cs="Arial"/>
        </w:rPr>
        <w:t xml:space="preserve"> creditor has so stipulated or agreed; or . . . .’</w:t>
      </w:r>
    </w:p>
    <w:p w:rsidR="00000000" w:rsidRDefault="00EB0E97" w:rsidP="0097356F">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13" w:rsidRDefault="003C6313" w:rsidP="00EF0CAC">
    <w:pPr>
      <w:pStyle w:val="Header"/>
      <w:jc w:val="right"/>
    </w:pPr>
    <w:r>
      <w:fldChar w:fldCharType="begin"/>
    </w:r>
    <w:r>
      <w:instrText xml:space="preserve"> PAGE   \* MERGEFORMAT </w:instrText>
    </w:r>
    <w:r>
      <w:fldChar w:fldCharType="separate"/>
    </w:r>
    <w:r w:rsidR="006C3341">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EE124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CE6800F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B4055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6ECA2A4"/>
    <w:lvl w:ilvl="0">
      <w:start w:val="1"/>
      <w:numFmt w:val="bullet"/>
      <w:lvlText w:val=""/>
      <w:lvlJc w:val="left"/>
      <w:pPr>
        <w:tabs>
          <w:tab w:val="num" w:pos="360"/>
        </w:tabs>
        <w:ind w:left="360" w:hanging="360"/>
      </w:pPr>
      <w:rPr>
        <w:rFonts w:ascii="Symbol" w:hAnsi="Symbol" w:hint="default"/>
      </w:rPr>
    </w:lvl>
  </w:abstractNum>
  <w:abstractNum w:abstractNumId="4">
    <w:nsid w:val="09023F20"/>
    <w:multiLevelType w:val="hybridMultilevel"/>
    <w:tmpl w:val="0360D5F4"/>
    <w:lvl w:ilvl="0" w:tplc="691E1002">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332EE"/>
    <w:multiLevelType w:val="hybridMultilevel"/>
    <w:tmpl w:val="A066CFCE"/>
    <w:lvl w:ilvl="0" w:tplc="FC5848A2">
      <w:start w:val="1"/>
      <w:numFmt w:val="decimal"/>
      <w:lvlText w:val="%1."/>
      <w:lvlJc w:val="left"/>
      <w:pPr>
        <w:tabs>
          <w:tab w:val="num" w:pos="720"/>
        </w:tabs>
        <w:ind w:left="720" w:hanging="720"/>
      </w:pPr>
      <w:rPr>
        <w:rFonts w:cs="Times New Roman" w:hint="default"/>
      </w:rPr>
    </w:lvl>
    <w:lvl w:ilvl="1" w:tplc="8D489B74">
      <w:start w:val="1"/>
      <w:numFmt w:val="decimal"/>
      <w:lvlText w:val="%2."/>
      <w:lvlJc w:val="left"/>
      <w:pPr>
        <w:tabs>
          <w:tab w:val="num" w:pos="2882"/>
        </w:tabs>
        <w:ind w:left="2882" w:hanging="720"/>
      </w:pPr>
      <w:rPr>
        <w:rFonts w:cs="Times New Roman" w:hint="default"/>
      </w:rPr>
    </w:lvl>
    <w:lvl w:ilvl="2" w:tplc="0809001B" w:tentative="1">
      <w:start w:val="1"/>
      <w:numFmt w:val="lowerRoman"/>
      <w:lvlText w:val="%3."/>
      <w:lvlJc w:val="right"/>
      <w:pPr>
        <w:tabs>
          <w:tab w:val="num" w:pos="3242"/>
        </w:tabs>
        <w:ind w:left="3242" w:hanging="180"/>
      </w:pPr>
      <w:rPr>
        <w:rFonts w:cs="Times New Roman"/>
      </w:rPr>
    </w:lvl>
    <w:lvl w:ilvl="3" w:tplc="0809000F" w:tentative="1">
      <w:start w:val="1"/>
      <w:numFmt w:val="decimal"/>
      <w:lvlText w:val="%4."/>
      <w:lvlJc w:val="left"/>
      <w:pPr>
        <w:tabs>
          <w:tab w:val="num" w:pos="3962"/>
        </w:tabs>
        <w:ind w:left="3962" w:hanging="360"/>
      </w:pPr>
      <w:rPr>
        <w:rFonts w:cs="Times New Roman"/>
      </w:rPr>
    </w:lvl>
    <w:lvl w:ilvl="4" w:tplc="08090019" w:tentative="1">
      <w:start w:val="1"/>
      <w:numFmt w:val="lowerLetter"/>
      <w:lvlText w:val="%5."/>
      <w:lvlJc w:val="left"/>
      <w:pPr>
        <w:tabs>
          <w:tab w:val="num" w:pos="4682"/>
        </w:tabs>
        <w:ind w:left="4682" w:hanging="360"/>
      </w:pPr>
      <w:rPr>
        <w:rFonts w:cs="Times New Roman"/>
      </w:rPr>
    </w:lvl>
    <w:lvl w:ilvl="5" w:tplc="0809001B" w:tentative="1">
      <w:start w:val="1"/>
      <w:numFmt w:val="lowerRoman"/>
      <w:lvlText w:val="%6."/>
      <w:lvlJc w:val="right"/>
      <w:pPr>
        <w:tabs>
          <w:tab w:val="num" w:pos="5402"/>
        </w:tabs>
        <w:ind w:left="5402" w:hanging="180"/>
      </w:pPr>
      <w:rPr>
        <w:rFonts w:cs="Times New Roman"/>
      </w:rPr>
    </w:lvl>
    <w:lvl w:ilvl="6" w:tplc="0809000F" w:tentative="1">
      <w:start w:val="1"/>
      <w:numFmt w:val="decimal"/>
      <w:lvlText w:val="%7."/>
      <w:lvlJc w:val="left"/>
      <w:pPr>
        <w:tabs>
          <w:tab w:val="num" w:pos="6122"/>
        </w:tabs>
        <w:ind w:left="6122" w:hanging="360"/>
      </w:pPr>
      <w:rPr>
        <w:rFonts w:cs="Times New Roman"/>
      </w:rPr>
    </w:lvl>
    <w:lvl w:ilvl="7" w:tplc="08090019" w:tentative="1">
      <w:start w:val="1"/>
      <w:numFmt w:val="lowerLetter"/>
      <w:lvlText w:val="%8."/>
      <w:lvlJc w:val="left"/>
      <w:pPr>
        <w:tabs>
          <w:tab w:val="num" w:pos="6842"/>
        </w:tabs>
        <w:ind w:left="6842" w:hanging="360"/>
      </w:pPr>
      <w:rPr>
        <w:rFonts w:cs="Times New Roman"/>
      </w:rPr>
    </w:lvl>
    <w:lvl w:ilvl="8" w:tplc="0809001B" w:tentative="1">
      <w:start w:val="1"/>
      <w:numFmt w:val="lowerRoman"/>
      <w:lvlText w:val="%9."/>
      <w:lvlJc w:val="right"/>
      <w:pPr>
        <w:tabs>
          <w:tab w:val="num" w:pos="7562"/>
        </w:tabs>
        <w:ind w:left="7562" w:hanging="180"/>
      </w:pPr>
      <w:rPr>
        <w:rFonts w:cs="Times New Roman"/>
      </w:rPr>
    </w:lvl>
  </w:abstractNum>
  <w:abstractNum w:abstractNumId="6">
    <w:nsid w:val="0E0E5F88"/>
    <w:multiLevelType w:val="hybridMultilevel"/>
    <w:tmpl w:val="5C020B02"/>
    <w:lvl w:ilvl="0" w:tplc="249AAEF2">
      <w:start w:val="1"/>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DD7D02"/>
    <w:multiLevelType w:val="multilevel"/>
    <w:tmpl w:val="7534B86C"/>
    <w:lvl w:ilvl="0">
      <w:start w:val="1"/>
      <w:numFmt w:val="decimal"/>
      <w:pStyle w:val="Affidavitnumbering"/>
      <w:lvlText w:val="%1"/>
      <w:lvlJc w:val="left"/>
      <w:pPr>
        <w:ind w:left="567" w:hanging="567"/>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2268" w:hanging="567"/>
      </w:pPr>
      <w:rPr>
        <w:rFonts w:cs="Times New Roman" w:hint="default"/>
      </w:rPr>
    </w:lvl>
    <w:lvl w:ilvl="4">
      <w:start w:val="1"/>
      <w:numFmt w:val="decimal"/>
      <w:lvlText w:val="%1.%2.%3.%4.%5."/>
      <w:lvlJc w:val="left"/>
      <w:pPr>
        <w:ind w:left="2835" w:hanging="567"/>
      </w:pPr>
      <w:rPr>
        <w:rFonts w:cs="Times New Roman" w:hint="default"/>
      </w:rPr>
    </w:lvl>
    <w:lvl w:ilvl="5">
      <w:start w:val="1"/>
      <w:numFmt w:val="decimal"/>
      <w:lvlText w:val="%1.%2.%3.%4.%5.%6."/>
      <w:lvlJc w:val="left"/>
      <w:pPr>
        <w:ind w:left="3402" w:hanging="567"/>
      </w:pPr>
      <w:rPr>
        <w:rFonts w:cs="Times New Roman" w:hint="default"/>
      </w:rPr>
    </w:lvl>
    <w:lvl w:ilvl="6">
      <w:start w:val="1"/>
      <w:numFmt w:val="decimal"/>
      <w:lvlText w:val="%1.%2.%3.%4.%5.%6.%7."/>
      <w:lvlJc w:val="left"/>
      <w:pPr>
        <w:ind w:left="3969" w:hanging="567"/>
      </w:pPr>
      <w:rPr>
        <w:rFonts w:cs="Times New Roman" w:hint="default"/>
      </w:rPr>
    </w:lvl>
    <w:lvl w:ilvl="7">
      <w:start w:val="1"/>
      <w:numFmt w:val="decimal"/>
      <w:lvlText w:val="%1.%2.%3.%4.%5.%6.%7.%8."/>
      <w:lvlJc w:val="left"/>
      <w:pPr>
        <w:ind w:left="4536" w:hanging="567"/>
      </w:pPr>
      <w:rPr>
        <w:rFonts w:cs="Times New Roman" w:hint="default"/>
      </w:rPr>
    </w:lvl>
    <w:lvl w:ilvl="8">
      <w:start w:val="1"/>
      <w:numFmt w:val="decimal"/>
      <w:lvlText w:val="%1.%2.%3.%4.%5.%6.%7.%8.%9."/>
      <w:lvlJc w:val="left"/>
      <w:pPr>
        <w:ind w:left="5103" w:hanging="567"/>
      </w:pPr>
      <w:rPr>
        <w:rFonts w:cs="Times New Roman" w:hint="default"/>
      </w:rPr>
    </w:lvl>
  </w:abstractNum>
  <w:abstractNum w:abstractNumId="8">
    <w:nsid w:val="37CB2B9B"/>
    <w:multiLevelType w:val="multilevel"/>
    <w:tmpl w:val="13E209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FEE40AF"/>
    <w:multiLevelType w:val="multilevel"/>
    <w:tmpl w:val="08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459523CB"/>
    <w:multiLevelType w:val="multilevel"/>
    <w:tmpl w:val="56AC83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C9B1E86"/>
    <w:multiLevelType w:val="multilevel"/>
    <w:tmpl w:val="4634980E"/>
    <w:lvl w:ilvl="0">
      <w:start w:val="1"/>
      <w:numFmt w:val="decimal"/>
      <w:isLgl/>
      <w:lvlText w:val="(%1)"/>
      <w:lvlJc w:val="left"/>
      <w:pPr>
        <w:tabs>
          <w:tab w:val="num" w:pos="0"/>
        </w:tabs>
        <w:ind w:left="567" w:hanging="567"/>
      </w:pPr>
      <w:rPr>
        <w:rFonts w:cs="Times New Roman" w:hint="default"/>
      </w:rPr>
    </w:lvl>
    <w:lvl w:ilvl="1">
      <w:start w:val="1"/>
      <w:numFmt w:val="lowerLetter"/>
      <w:lvlText w:val="(%2)"/>
      <w:lvlJc w:val="left"/>
      <w:pPr>
        <w:tabs>
          <w:tab w:val="num" w:pos="0"/>
        </w:tabs>
        <w:ind w:left="992" w:hanging="425"/>
      </w:pPr>
      <w:rPr>
        <w:rFonts w:cs="Times New Roman" w:hint="default"/>
        <w:b w:val="0"/>
        <w:i/>
      </w:rPr>
    </w:lvl>
    <w:lvl w:ilvl="2">
      <w:start w:val="1"/>
      <w:numFmt w:val="lowerRoman"/>
      <w:lvlText w:val="(%3)"/>
      <w:lvlJc w:val="left"/>
      <w:pPr>
        <w:tabs>
          <w:tab w:val="num" w:pos="0"/>
        </w:tabs>
        <w:ind w:left="1417" w:hanging="425"/>
      </w:pPr>
      <w:rPr>
        <w:rFonts w:cs="Times New Roman" w:hint="default"/>
      </w:rPr>
    </w:lvl>
    <w:lvl w:ilvl="3">
      <w:start w:val="1"/>
      <w:numFmt w:val="decimal"/>
      <w:lvlText w:val="(%4)"/>
      <w:lvlJc w:val="left"/>
      <w:pPr>
        <w:tabs>
          <w:tab w:val="num" w:pos="0"/>
        </w:tabs>
        <w:ind w:left="1842" w:hanging="567"/>
      </w:pPr>
      <w:rPr>
        <w:rFonts w:cs="Times New Roman" w:hint="default"/>
      </w:rPr>
    </w:lvl>
    <w:lvl w:ilvl="4">
      <w:start w:val="1"/>
      <w:numFmt w:val="lowerLetter"/>
      <w:lvlText w:val="(%5)"/>
      <w:lvlJc w:val="left"/>
      <w:pPr>
        <w:tabs>
          <w:tab w:val="num" w:pos="0"/>
        </w:tabs>
        <w:ind w:left="2267" w:hanging="567"/>
      </w:pPr>
      <w:rPr>
        <w:rFonts w:cs="Times New Roman" w:hint="default"/>
      </w:rPr>
    </w:lvl>
    <w:lvl w:ilvl="5">
      <w:start w:val="1"/>
      <w:numFmt w:val="lowerRoman"/>
      <w:lvlText w:val="(%6)"/>
      <w:lvlJc w:val="left"/>
      <w:pPr>
        <w:tabs>
          <w:tab w:val="num" w:pos="0"/>
        </w:tabs>
        <w:ind w:left="2692" w:hanging="567"/>
      </w:pPr>
      <w:rPr>
        <w:rFonts w:cs="Times New Roman" w:hint="default"/>
      </w:rPr>
    </w:lvl>
    <w:lvl w:ilvl="6">
      <w:start w:val="1"/>
      <w:numFmt w:val="decimal"/>
      <w:lvlText w:val="%7."/>
      <w:lvlJc w:val="left"/>
      <w:pPr>
        <w:tabs>
          <w:tab w:val="num" w:pos="0"/>
        </w:tabs>
        <w:ind w:left="3117" w:hanging="567"/>
      </w:pPr>
      <w:rPr>
        <w:rFonts w:cs="Times New Roman" w:hint="default"/>
      </w:rPr>
    </w:lvl>
    <w:lvl w:ilvl="7">
      <w:start w:val="1"/>
      <w:numFmt w:val="lowerLetter"/>
      <w:lvlText w:val="%8."/>
      <w:lvlJc w:val="left"/>
      <w:pPr>
        <w:tabs>
          <w:tab w:val="num" w:pos="0"/>
        </w:tabs>
        <w:ind w:left="3542" w:hanging="567"/>
      </w:pPr>
      <w:rPr>
        <w:rFonts w:cs="Times New Roman" w:hint="default"/>
      </w:rPr>
    </w:lvl>
    <w:lvl w:ilvl="8">
      <w:start w:val="1"/>
      <w:numFmt w:val="lowerRoman"/>
      <w:lvlText w:val="%9."/>
      <w:lvlJc w:val="left"/>
      <w:pPr>
        <w:tabs>
          <w:tab w:val="num" w:pos="0"/>
        </w:tabs>
        <w:ind w:left="3967" w:hanging="567"/>
      </w:pPr>
      <w:rPr>
        <w:rFonts w:cs="Times New Roman" w:hint="default"/>
      </w:rPr>
    </w:lvl>
  </w:abstractNum>
  <w:abstractNum w:abstractNumId="12">
    <w:nsid w:val="4D673B46"/>
    <w:multiLevelType w:val="hybridMultilevel"/>
    <w:tmpl w:val="40BE4902"/>
    <w:lvl w:ilvl="0" w:tplc="97A65332">
      <w:start w:val="1"/>
      <w:numFmt w:val="decimal"/>
      <w:lvlText w:val="%1."/>
      <w:lvlJc w:val="left"/>
      <w:pPr>
        <w:tabs>
          <w:tab w:val="num" w:pos="1802"/>
        </w:tabs>
        <w:ind w:left="1802" w:hanging="360"/>
      </w:pPr>
      <w:rPr>
        <w:rFonts w:cs="Times New Roman" w:hint="default"/>
      </w:rPr>
    </w:lvl>
    <w:lvl w:ilvl="1" w:tplc="08090019" w:tentative="1">
      <w:start w:val="1"/>
      <w:numFmt w:val="lowerLetter"/>
      <w:lvlText w:val="%2."/>
      <w:lvlJc w:val="left"/>
      <w:pPr>
        <w:tabs>
          <w:tab w:val="num" w:pos="2522"/>
        </w:tabs>
        <w:ind w:left="2522" w:hanging="360"/>
      </w:pPr>
      <w:rPr>
        <w:rFonts w:cs="Times New Roman"/>
      </w:rPr>
    </w:lvl>
    <w:lvl w:ilvl="2" w:tplc="0809001B" w:tentative="1">
      <w:start w:val="1"/>
      <w:numFmt w:val="lowerRoman"/>
      <w:lvlText w:val="%3."/>
      <w:lvlJc w:val="right"/>
      <w:pPr>
        <w:tabs>
          <w:tab w:val="num" w:pos="3242"/>
        </w:tabs>
        <w:ind w:left="3242" w:hanging="180"/>
      </w:pPr>
      <w:rPr>
        <w:rFonts w:cs="Times New Roman"/>
      </w:rPr>
    </w:lvl>
    <w:lvl w:ilvl="3" w:tplc="0809000F" w:tentative="1">
      <w:start w:val="1"/>
      <w:numFmt w:val="decimal"/>
      <w:lvlText w:val="%4."/>
      <w:lvlJc w:val="left"/>
      <w:pPr>
        <w:tabs>
          <w:tab w:val="num" w:pos="3962"/>
        </w:tabs>
        <w:ind w:left="3962" w:hanging="360"/>
      </w:pPr>
      <w:rPr>
        <w:rFonts w:cs="Times New Roman"/>
      </w:rPr>
    </w:lvl>
    <w:lvl w:ilvl="4" w:tplc="08090019" w:tentative="1">
      <w:start w:val="1"/>
      <w:numFmt w:val="lowerLetter"/>
      <w:lvlText w:val="%5."/>
      <w:lvlJc w:val="left"/>
      <w:pPr>
        <w:tabs>
          <w:tab w:val="num" w:pos="4682"/>
        </w:tabs>
        <w:ind w:left="4682" w:hanging="360"/>
      </w:pPr>
      <w:rPr>
        <w:rFonts w:cs="Times New Roman"/>
      </w:rPr>
    </w:lvl>
    <w:lvl w:ilvl="5" w:tplc="0809001B" w:tentative="1">
      <w:start w:val="1"/>
      <w:numFmt w:val="lowerRoman"/>
      <w:lvlText w:val="%6."/>
      <w:lvlJc w:val="right"/>
      <w:pPr>
        <w:tabs>
          <w:tab w:val="num" w:pos="5402"/>
        </w:tabs>
        <w:ind w:left="5402" w:hanging="180"/>
      </w:pPr>
      <w:rPr>
        <w:rFonts w:cs="Times New Roman"/>
      </w:rPr>
    </w:lvl>
    <w:lvl w:ilvl="6" w:tplc="0809000F" w:tentative="1">
      <w:start w:val="1"/>
      <w:numFmt w:val="decimal"/>
      <w:lvlText w:val="%7."/>
      <w:lvlJc w:val="left"/>
      <w:pPr>
        <w:tabs>
          <w:tab w:val="num" w:pos="6122"/>
        </w:tabs>
        <w:ind w:left="6122" w:hanging="360"/>
      </w:pPr>
      <w:rPr>
        <w:rFonts w:cs="Times New Roman"/>
      </w:rPr>
    </w:lvl>
    <w:lvl w:ilvl="7" w:tplc="08090019" w:tentative="1">
      <w:start w:val="1"/>
      <w:numFmt w:val="lowerLetter"/>
      <w:lvlText w:val="%8."/>
      <w:lvlJc w:val="left"/>
      <w:pPr>
        <w:tabs>
          <w:tab w:val="num" w:pos="6842"/>
        </w:tabs>
        <w:ind w:left="6842" w:hanging="360"/>
      </w:pPr>
      <w:rPr>
        <w:rFonts w:cs="Times New Roman"/>
      </w:rPr>
    </w:lvl>
    <w:lvl w:ilvl="8" w:tplc="0809001B" w:tentative="1">
      <w:start w:val="1"/>
      <w:numFmt w:val="lowerRoman"/>
      <w:lvlText w:val="%9."/>
      <w:lvlJc w:val="right"/>
      <w:pPr>
        <w:tabs>
          <w:tab w:val="num" w:pos="7562"/>
        </w:tabs>
        <w:ind w:left="7562" w:hanging="180"/>
      </w:pPr>
      <w:rPr>
        <w:rFonts w:cs="Times New Roman"/>
      </w:rPr>
    </w:lvl>
  </w:abstractNum>
  <w:abstractNum w:abstractNumId="13">
    <w:nsid w:val="4D8B23C4"/>
    <w:multiLevelType w:val="multilevel"/>
    <w:tmpl w:val="B9EE8D06"/>
    <w:lvl w:ilvl="0">
      <w:start w:val="2"/>
      <w:numFmt w:val="decimal"/>
      <w:lvlText w:val="(%1."/>
      <w:lvlJc w:val="left"/>
      <w:pPr>
        <w:ind w:left="480" w:hanging="480"/>
      </w:pPr>
      <w:rPr>
        <w:rFonts w:cs="Times New Roman" w:hint="default"/>
      </w:rPr>
    </w:lvl>
    <w:lvl w:ilvl="1">
      <w:start w:val="1"/>
      <w:numFmt w:val="decimal"/>
      <w:lvlText w:val="(%1.%2)"/>
      <w:lvlJc w:val="left"/>
      <w:pPr>
        <w:ind w:left="2420" w:hanging="720"/>
      </w:pPr>
      <w:rPr>
        <w:rFonts w:cs="Times New Roman" w:hint="default"/>
      </w:rPr>
    </w:lvl>
    <w:lvl w:ilvl="2">
      <w:start w:val="1"/>
      <w:numFmt w:val="decimal"/>
      <w:lvlText w:val="(%1.%2)%3."/>
      <w:lvlJc w:val="left"/>
      <w:pPr>
        <w:ind w:left="4120" w:hanging="720"/>
      </w:pPr>
      <w:rPr>
        <w:rFonts w:cs="Times New Roman" w:hint="default"/>
      </w:rPr>
    </w:lvl>
    <w:lvl w:ilvl="3">
      <w:start w:val="1"/>
      <w:numFmt w:val="decimal"/>
      <w:lvlText w:val="(%1.%2)%3.%4."/>
      <w:lvlJc w:val="left"/>
      <w:pPr>
        <w:ind w:left="6180" w:hanging="1080"/>
      </w:pPr>
      <w:rPr>
        <w:rFonts w:cs="Times New Roman" w:hint="default"/>
      </w:rPr>
    </w:lvl>
    <w:lvl w:ilvl="4">
      <w:start w:val="1"/>
      <w:numFmt w:val="decimal"/>
      <w:lvlText w:val="(%1.%2)%3.%4.%5."/>
      <w:lvlJc w:val="left"/>
      <w:pPr>
        <w:ind w:left="8240" w:hanging="1440"/>
      </w:pPr>
      <w:rPr>
        <w:rFonts w:cs="Times New Roman" w:hint="default"/>
      </w:rPr>
    </w:lvl>
    <w:lvl w:ilvl="5">
      <w:start w:val="1"/>
      <w:numFmt w:val="decimal"/>
      <w:lvlText w:val="(%1.%2)%3.%4.%5.%6."/>
      <w:lvlJc w:val="left"/>
      <w:pPr>
        <w:ind w:left="9940" w:hanging="1440"/>
      </w:pPr>
      <w:rPr>
        <w:rFonts w:cs="Times New Roman" w:hint="default"/>
      </w:rPr>
    </w:lvl>
    <w:lvl w:ilvl="6">
      <w:start w:val="1"/>
      <w:numFmt w:val="decimal"/>
      <w:lvlText w:val="(%1.%2)%3.%4.%5.%6.%7."/>
      <w:lvlJc w:val="left"/>
      <w:pPr>
        <w:ind w:left="12000" w:hanging="1800"/>
      </w:pPr>
      <w:rPr>
        <w:rFonts w:cs="Times New Roman" w:hint="default"/>
      </w:rPr>
    </w:lvl>
    <w:lvl w:ilvl="7">
      <w:start w:val="1"/>
      <w:numFmt w:val="decimal"/>
      <w:lvlText w:val="(%1.%2)%3.%4.%5.%6.%7.%8."/>
      <w:lvlJc w:val="left"/>
      <w:pPr>
        <w:ind w:left="13700" w:hanging="1800"/>
      </w:pPr>
      <w:rPr>
        <w:rFonts w:cs="Times New Roman" w:hint="default"/>
      </w:rPr>
    </w:lvl>
    <w:lvl w:ilvl="8">
      <w:start w:val="1"/>
      <w:numFmt w:val="decimal"/>
      <w:lvlText w:val="(%1.%2)%3.%4.%5.%6.%7.%8.%9."/>
      <w:lvlJc w:val="left"/>
      <w:pPr>
        <w:ind w:left="15760" w:hanging="2160"/>
      </w:pPr>
      <w:rPr>
        <w:rFonts w:cs="Times New Roman" w:hint="default"/>
      </w:rPr>
    </w:lvl>
  </w:abstractNum>
  <w:abstractNum w:abstractNumId="14">
    <w:nsid w:val="4DF03B5A"/>
    <w:multiLevelType w:val="multilevel"/>
    <w:tmpl w:val="A03ED63A"/>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5">
    <w:nsid w:val="5A7617CE"/>
    <w:multiLevelType w:val="multilevel"/>
    <w:tmpl w:val="C66A63A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DCF2A19"/>
    <w:multiLevelType w:val="multilevel"/>
    <w:tmpl w:val="6FF0B8D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8CE6716"/>
    <w:multiLevelType w:val="multilevel"/>
    <w:tmpl w:val="CE80A048"/>
    <w:lvl w:ilvl="0">
      <w:start w:val="1"/>
      <w:numFmt w:val="decimal"/>
      <w:pStyle w:val="Sectionnumbering"/>
      <w:isLgl/>
      <w:lvlText w:val="[%1]"/>
      <w:lvlJc w:val="left"/>
      <w:pPr>
        <w:tabs>
          <w:tab w:val="num" w:pos="0"/>
        </w:tabs>
        <w:ind w:left="567" w:hanging="567"/>
      </w:pPr>
      <w:rPr>
        <w:rFonts w:cs="Times New Roman" w:hint="default"/>
        <w:b w:val="0"/>
        <w:color w:val="auto"/>
      </w:rPr>
    </w:lvl>
    <w:lvl w:ilvl="1">
      <w:start w:val="1"/>
      <w:numFmt w:val="lowerLetter"/>
      <w:pStyle w:val="Sectionnumbering2"/>
      <w:lvlText w:val="(%2)"/>
      <w:lvlJc w:val="left"/>
      <w:pPr>
        <w:tabs>
          <w:tab w:val="num" w:pos="0"/>
        </w:tabs>
        <w:ind w:left="992" w:hanging="425"/>
      </w:pPr>
      <w:rPr>
        <w:rFonts w:cs="Times New Roman" w:hint="default"/>
        <w:b w:val="0"/>
        <w:i w:val="0"/>
      </w:rPr>
    </w:lvl>
    <w:lvl w:ilvl="2">
      <w:start w:val="1"/>
      <w:numFmt w:val="lowerRoman"/>
      <w:pStyle w:val="Sectionnumbering3"/>
      <w:lvlText w:val="(%3)"/>
      <w:lvlJc w:val="left"/>
      <w:pPr>
        <w:tabs>
          <w:tab w:val="num" w:pos="0"/>
        </w:tabs>
        <w:ind w:left="1417" w:hanging="425"/>
      </w:pPr>
      <w:rPr>
        <w:rFonts w:cs="Times New Roman" w:hint="default"/>
      </w:rPr>
    </w:lvl>
    <w:lvl w:ilvl="3">
      <w:start w:val="1"/>
      <w:numFmt w:val="decimal"/>
      <w:lvlText w:val="(%4)"/>
      <w:lvlJc w:val="left"/>
      <w:pPr>
        <w:tabs>
          <w:tab w:val="num" w:pos="0"/>
        </w:tabs>
        <w:ind w:left="1842" w:hanging="567"/>
      </w:pPr>
      <w:rPr>
        <w:rFonts w:cs="Times New Roman" w:hint="default"/>
      </w:rPr>
    </w:lvl>
    <w:lvl w:ilvl="4">
      <w:start w:val="1"/>
      <w:numFmt w:val="lowerLetter"/>
      <w:lvlText w:val="(%5)"/>
      <w:lvlJc w:val="left"/>
      <w:pPr>
        <w:tabs>
          <w:tab w:val="num" w:pos="0"/>
        </w:tabs>
        <w:ind w:left="2267" w:hanging="567"/>
      </w:pPr>
      <w:rPr>
        <w:rFonts w:cs="Times New Roman" w:hint="default"/>
      </w:rPr>
    </w:lvl>
    <w:lvl w:ilvl="5">
      <w:start w:val="1"/>
      <w:numFmt w:val="lowerRoman"/>
      <w:lvlText w:val="(%6)"/>
      <w:lvlJc w:val="left"/>
      <w:pPr>
        <w:tabs>
          <w:tab w:val="num" w:pos="0"/>
        </w:tabs>
        <w:ind w:left="2692" w:hanging="567"/>
      </w:pPr>
      <w:rPr>
        <w:rFonts w:cs="Times New Roman" w:hint="default"/>
      </w:rPr>
    </w:lvl>
    <w:lvl w:ilvl="6">
      <w:start w:val="1"/>
      <w:numFmt w:val="decimal"/>
      <w:lvlText w:val="%7."/>
      <w:lvlJc w:val="left"/>
      <w:pPr>
        <w:tabs>
          <w:tab w:val="num" w:pos="0"/>
        </w:tabs>
        <w:ind w:left="3117" w:hanging="567"/>
      </w:pPr>
      <w:rPr>
        <w:rFonts w:cs="Times New Roman" w:hint="default"/>
      </w:rPr>
    </w:lvl>
    <w:lvl w:ilvl="7">
      <w:start w:val="1"/>
      <w:numFmt w:val="lowerLetter"/>
      <w:lvlText w:val="%8."/>
      <w:lvlJc w:val="left"/>
      <w:pPr>
        <w:tabs>
          <w:tab w:val="num" w:pos="0"/>
        </w:tabs>
        <w:ind w:left="3542" w:hanging="567"/>
      </w:pPr>
      <w:rPr>
        <w:rFonts w:cs="Times New Roman" w:hint="default"/>
      </w:rPr>
    </w:lvl>
    <w:lvl w:ilvl="8">
      <w:start w:val="1"/>
      <w:numFmt w:val="lowerRoman"/>
      <w:lvlText w:val="%9."/>
      <w:lvlJc w:val="left"/>
      <w:pPr>
        <w:tabs>
          <w:tab w:val="num" w:pos="0"/>
        </w:tabs>
        <w:ind w:left="3967" w:hanging="567"/>
      </w:pPr>
      <w:rPr>
        <w:rFonts w:cs="Times New Roman" w:hint="default"/>
      </w:rPr>
    </w:lvl>
  </w:abstractNum>
  <w:abstractNum w:abstractNumId="18">
    <w:nsid w:val="7A58649D"/>
    <w:multiLevelType w:val="multilevel"/>
    <w:tmpl w:val="71E858E4"/>
    <w:lvl w:ilvl="0">
      <w:start w:val="1"/>
      <w:numFmt w:val="decimal"/>
      <w:lvlText w:val="(%1."/>
      <w:lvlJc w:val="left"/>
      <w:pPr>
        <w:ind w:left="480" w:hanging="480"/>
      </w:pPr>
      <w:rPr>
        <w:rFonts w:cs="Times New Roman" w:hint="default"/>
      </w:rPr>
    </w:lvl>
    <w:lvl w:ilvl="1">
      <w:start w:val="1"/>
      <w:numFmt w:val="decimal"/>
      <w:lvlText w:val="(%1.%2)"/>
      <w:lvlJc w:val="left"/>
      <w:pPr>
        <w:ind w:left="2420" w:hanging="720"/>
      </w:pPr>
      <w:rPr>
        <w:rFonts w:cs="Times New Roman" w:hint="default"/>
      </w:rPr>
    </w:lvl>
    <w:lvl w:ilvl="2">
      <w:start w:val="1"/>
      <w:numFmt w:val="decimal"/>
      <w:lvlText w:val="(%1.%2)%3."/>
      <w:lvlJc w:val="left"/>
      <w:pPr>
        <w:ind w:left="4120" w:hanging="720"/>
      </w:pPr>
      <w:rPr>
        <w:rFonts w:cs="Times New Roman" w:hint="default"/>
      </w:rPr>
    </w:lvl>
    <w:lvl w:ilvl="3">
      <w:start w:val="1"/>
      <w:numFmt w:val="decimal"/>
      <w:lvlText w:val="(%1.%2)%3.%4."/>
      <w:lvlJc w:val="left"/>
      <w:pPr>
        <w:ind w:left="6180" w:hanging="1080"/>
      </w:pPr>
      <w:rPr>
        <w:rFonts w:cs="Times New Roman" w:hint="default"/>
      </w:rPr>
    </w:lvl>
    <w:lvl w:ilvl="4">
      <w:start w:val="1"/>
      <w:numFmt w:val="decimal"/>
      <w:lvlText w:val="(%1.%2)%3.%4.%5."/>
      <w:lvlJc w:val="left"/>
      <w:pPr>
        <w:ind w:left="8240" w:hanging="1440"/>
      </w:pPr>
      <w:rPr>
        <w:rFonts w:cs="Times New Roman" w:hint="default"/>
      </w:rPr>
    </w:lvl>
    <w:lvl w:ilvl="5">
      <w:start w:val="1"/>
      <w:numFmt w:val="decimal"/>
      <w:lvlText w:val="(%1.%2)%3.%4.%5.%6."/>
      <w:lvlJc w:val="left"/>
      <w:pPr>
        <w:ind w:left="9940" w:hanging="1440"/>
      </w:pPr>
      <w:rPr>
        <w:rFonts w:cs="Times New Roman" w:hint="default"/>
      </w:rPr>
    </w:lvl>
    <w:lvl w:ilvl="6">
      <w:start w:val="1"/>
      <w:numFmt w:val="decimal"/>
      <w:lvlText w:val="(%1.%2)%3.%4.%5.%6.%7."/>
      <w:lvlJc w:val="left"/>
      <w:pPr>
        <w:ind w:left="12000" w:hanging="1800"/>
      </w:pPr>
      <w:rPr>
        <w:rFonts w:cs="Times New Roman" w:hint="default"/>
      </w:rPr>
    </w:lvl>
    <w:lvl w:ilvl="7">
      <w:start w:val="1"/>
      <w:numFmt w:val="decimal"/>
      <w:lvlText w:val="(%1.%2)%3.%4.%5.%6.%7.%8."/>
      <w:lvlJc w:val="left"/>
      <w:pPr>
        <w:ind w:left="13700" w:hanging="1800"/>
      </w:pPr>
      <w:rPr>
        <w:rFonts w:cs="Times New Roman" w:hint="default"/>
      </w:rPr>
    </w:lvl>
    <w:lvl w:ilvl="8">
      <w:start w:val="1"/>
      <w:numFmt w:val="decimal"/>
      <w:lvlText w:val="(%1.%2)%3.%4.%5.%6.%7.%8.%9."/>
      <w:lvlJc w:val="left"/>
      <w:pPr>
        <w:ind w:left="15760" w:hanging="2160"/>
      </w:pPr>
      <w:rPr>
        <w:rFonts w:cs="Times New Roman" w:hint="default"/>
      </w:rPr>
    </w:lvl>
  </w:abstractNum>
  <w:num w:numId="1">
    <w:abstractNumId w:val="14"/>
  </w:num>
  <w:num w:numId="2">
    <w:abstractNumId w:val="7"/>
  </w:num>
  <w:num w:numId="3">
    <w:abstractNumId w:val="7"/>
    <w:lvlOverride w:ilvl="0">
      <w:lvl w:ilvl="0">
        <w:start w:val="1"/>
        <w:numFmt w:val="decimal"/>
        <w:pStyle w:val="Affidavitnumbering"/>
        <w:lvlText w:val="%1"/>
        <w:lvlJc w:val="left"/>
        <w:pPr>
          <w:ind w:left="567" w:hanging="567"/>
        </w:pPr>
        <w:rPr>
          <w:rFonts w:cs="Times New Roman" w:hint="default"/>
        </w:rPr>
      </w:lvl>
    </w:lvlOverride>
    <w:lvlOverride w:ilvl="1">
      <w:lvl w:ilvl="1">
        <w:start w:val="1"/>
        <w:numFmt w:val="decimal"/>
        <w:lvlText w:val="%1.%2"/>
        <w:lvlJc w:val="left"/>
        <w:pPr>
          <w:ind w:left="1134" w:hanging="567"/>
        </w:pPr>
        <w:rPr>
          <w:rFonts w:cs="Times New Roman" w:hint="default"/>
        </w:rPr>
      </w:lvl>
    </w:lvlOverride>
    <w:lvlOverride w:ilvl="2">
      <w:lvl w:ilvl="2">
        <w:start w:val="1"/>
        <w:numFmt w:val="decimal"/>
        <w:lvlText w:val="%1.%2.%3"/>
        <w:lvlJc w:val="left"/>
        <w:pPr>
          <w:ind w:left="1985" w:hanging="851"/>
        </w:pPr>
        <w:rPr>
          <w:rFonts w:cs="Times New Roman" w:hint="default"/>
        </w:rPr>
      </w:lvl>
    </w:lvlOverride>
    <w:lvlOverride w:ilvl="3">
      <w:lvl w:ilvl="3">
        <w:start w:val="1"/>
        <w:numFmt w:val="decimal"/>
        <w:lvlText w:val="%1.%2.%3.%4"/>
        <w:lvlJc w:val="left"/>
        <w:pPr>
          <w:ind w:left="2268" w:hanging="567"/>
        </w:pPr>
        <w:rPr>
          <w:rFonts w:cs="Times New Roman" w:hint="default"/>
        </w:rPr>
      </w:lvl>
    </w:lvlOverride>
    <w:lvlOverride w:ilvl="4">
      <w:lvl w:ilvl="4">
        <w:start w:val="1"/>
        <w:numFmt w:val="decimal"/>
        <w:lvlText w:val="%1.%2.%3.%4.%5."/>
        <w:lvlJc w:val="left"/>
        <w:pPr>
          <w:ind w:left="2835" w:hanging="567"/>
        </w:pPr>
        <w:rPr>
          <w:rFonts w:cs="Times New Roman" w:hint="default"/>
        </w:rPr>
      </w:lvl>
    </w:lvlOverride>
    <w:lvlOverride w:ilvl="5">
      <w:lvl w:ilvl="5">
        <w:start w:val="1"/>
        <w:numFmt w:val="decimal"/>
        <w:lvlText w:val="%1.%2.%3.%4.%5.%6."/>
        <w:lvlJc w:val="left"/>
        <w:pPr>
          <w:ind w:left="3402" w:hanging="567"/>
        </w:pPr>
        <w:rPr>
          <w:rFonts w:cs="Times New Roman" w:hint="default"/>
        </w:rPr>
      </w:lvl>
    </w:lvlOverride>
    <w:lvlOverride w:ilvl="6">
      <w:lvl w:ilvl="6">
        <w:start w:val="1"/>
        <w:numFmt w:val="decimal"/>
        <w:lvlText w:val="%1.%2.%3.%4.%5.%6.%7."/>
        <w:lvlJc w:val="left"/>
        <w:pPr>
          <w:ind w:left="3969" w:hanging="567"/>
        </w:pPr>
        <w:rPr>
          <w:rFonts w:cs="Times New Roman" w:hint="default"/>
        </w:rPr>
      </w:lvl>
    </w:lvlOverride>
    <w:lvlOverride w:ilvl="7">
      <w:lvl w:ilvl="7">
        <w:start w:val="1"/>
        <w:numFmt w:val="decimal"/>
        <w:lvlText w:val="%1.%2.%3.%4.%5.%6.%7.%8."/>
        <w:lvlJc w:val="left"/>
        <w:pPr>
          <w:ind w:left="4536" w:hanging="567"/>
        </w:pPr>
        <w:rPr>
          <w:rFonts w:cs="Times New Roman" w:hint="default"/>
        </w:rPr>
      </w:lvl>
    </w:lvlOverride>
    <w:lvlOverride w:ilvl="8">
      <w:lvl w:ilvl="8">
        <w:start w:val="1"/>
        <w:numFmt w:val="decimal"/>
        <w:lvlText w:val="%1.%2.%3.%4.%5.%6.%7.%8.%9."/>
        <w:lvlJc w:val="left"/>
        <w:pPr>
          <w:ind w:left="5103" w:hanging="567"/>
        </w:pPr>
        <w:rPr>
          <w:rFonts w:cs="Times New Roman" w:hint="default"/>
        </w:rPr>
      </w:lvl>
    </w:lvlOverride>
  </w:num>
  <w:num w:numId="4">
    <w:abstractNumId w:val="7"/>
    <w:lvlOverride w:ilvl="0">
      <w:lvl w:ilvl="0">
        <w:start w:val="1"/>
        <w:numFmt w:val="decimal"/>
        <w:pStyle w:val="Affidavitnumbering"/>
        <w:lvlText w:val="%1"/>
        <w:lvlJc w:val="left"/>
        <w:pPr>
          <w:ind w:left="567" w:hanging="567"/>
        </w:pPr>
        <w:rPr>
          <w:rFonts w:cs="Times New Roman" w:hint="default"/>
        </w:rPr>
      </w:lvl>
    </w:lvlOverride>
    <w:lvlOverride w:ilvl="1">
      <w:lvl w:ilvl="1">
        <w:start w:val="1"/>
        <w:numFmt w:val="decimal"/>
        <w:lvlText w:val="%1.%2"/>
        <w:lvlJc w:val="left"/>
        <w:pPr>
          <w:ind w:left="1134" w:hanging="567"/>
        </w:pPr>
        <w:rPr>
          <w:rFonts w:cs="Times New Roman" w:hint="default"/>
        </w:rPr>
      </w:lvl>
    </w:lvlOverride>
    <w:lvlOverride w:ilvl="2">
      <w:lvl w:ilvl="2">
        <w:start w:val="1"/>
        <w:numFmt w:val="decimal"/>
        <w:lvlRestart w:val="0"/>
        <w:lvlText w:val="%1.%2.%3"/>
        <w:lvlJc w:val="left"/>
        <w:pPr>
          <w:ind w:left="1985" w:hanging="851"/>
        </w:pPr>
        <w:rPr>
          <w:rFonts w:cs="Times New Roman" w:hint="default"/>
        </w:rPr>
      </w:lvl>
    </w:lvlOverride>
    <w:lvlOverride w:ilvl="3">
      <w:lvl w:ilvl="3">
        <w:start w:val="1"/>
        <w:numFmt w:val="decimal"/>
        <w:lvlText w:val="%1.%2.%3.%4"/>
        <w:lvlJc w:val="left"/>
        <w:pPr>
          <w:ind w:left="2268" w:hanging="567"/>
        </w:pPr>
        <w:rPr>
          <w:rFonts w:cs="Times New Roman" w:hint="default"/>
        </w:rPr>
      </w:lvl>
    </w:lvlOverride>
    <w:lvlOverride w:ilvl="4">
      <w:lvl w:ilvl="4">
        <w:start w:val="1"/>
        <w:numFmt w:val="decimal"/>
        <w:lvlText w:val="%1.%2.%3.%4.%5."/>
        <w:lvlJc w:val="left"/>
        <w:pPr>
          <w:ind w:left="2835" w:hanging="567"/>
        </w:pPr>
        <w:rPr>
          <w:rFonts w:cs="Times New Roman" w:hint="default"/>
        </w:rPr>
      </w:lvl>
    </w:lvlOverride>
    <w:lvlOverride w:ilvl="5">
      <w:lvl w:ilvl="5">
        <w:start w:val="1"/>
        <w:numFmt w:val="decimal"/>
        <w:lvlText w:val="%1.%2.%3.%4.%5.%6."/>
        <w:lvlJc w:val="left"/>
        <w:pPr>
          <w:ind w:left="3402" w:hanging="567"/>
        </w:pPr>
        <w:rPr>
          <w:rFonts w:cs="Times New Roman" w:hint="default"/>
        </w:rPr>
      </w:lvl>
    </w:lvlOverride>
    <w:lvlOverride w:ilvl="6">
      <w:lvl w:ilvl="6">
        <w:start w:val="1"/>
        <w:numFmt w:val="decimal"/>
        <w:lvlText w:val="%1.%2.%3.%4.%5.%6.%7."/>
        <w:lvlJc w:val="left"/>
        <w:pPr>
          <w:ind w:left="3969" w:hanging="567"/>
        </w:pPr>
        <w:rPr>
          <w:rFonts w:cs="Times New Roman" w:hint="default"/>
        </w:rPr>
      </w:lvl>
    </w:lvlOverride>
    <w:lvlOverride w:ilvl="7">
      <w:lvl w:ilvl="7">
        <w:start w:val="1"/>
        <w:numFmt w:val="decimal"/>
        <w:lvlText w:val="%1.%2.%3.%4.%5.%6.%7.%8."/>
        <w:lvlJc w:val="left"/>
        <w:pPr>
          <w:ind w:left="4536" w:hanging="567"/>
        </w:pPr>
        <w:rPr>
          <w:rFonts w:cs="Times New Roman" w:hint="default"/>
        </w:rPr>
      </w:lvl>
    </w:lvlOverride>
    <w:lvlOverride w:ilvl="8">
      <w:lvl w:ilvl="8">
        <w:start w:val="1"/>
        <w:numFmt w:val="decimal"/>
        <w:lvlText w:val="%1.%2.%3.%4.%5.%6.%7.%8.%9."/>
        <w:lvlJc w:val="left"/>
        <w:pPr>
          <w:ind w:left="5103" w:hanging="567"/>
        </w:pPr>
        <w:rPr>
          <w:rFonts w:cs="Times New Roman" w:hint="default"/>
        </w:rPr>
      </w:lvl>
    </w:lvlOverride>
  </w:num>
  <w:num w:numId="5">
    <w:abstractNumId w:val="7"/>
    <w:lvlOverride w:ilvl="0">
      <w:lvl w:ilvl="0">
        <w:start w:val="1"/>
        <w:numFmt w:val="decimal"/>
        <w:pStyle w:val="Affidavitnumbering"/>
        <w:lvlText w:val="%1"/>
        <w:lvlJc w:val="left"/>
        <w:pPr>
          <w:ind w:left="567" w:hanging="567"/>
        </w:pPr>
        <w:rPr>
          <w:rFonts w:cs="Times New Roman" w:hint="default"/>
        </w:rPr>
      </w:lvl>
    </w:lvlOverride>
    <w:lvlOverride w:ilvl="1">
      <w:lvl w:ilvl="1">
        <w:start w:val="1"/>
        <w:numFmt w:val="decimal"/>
        <w:lvlText w:val="%1.%2"/>
        <w:lvlJc w:val="left"/>
        <w:pPr>
          <w:ind w:left="1134" w:hanging="567"/>
        </w:pPr>
        <w:rPr>
          <w:rFonts w:cs="Times New Roman" w:hint="default"/>
        </w:rPr>
      </w:lvl>
    </w:lvlOverride>
    <w:lvlOverride w:ilvl="2">
      <w:lvl w:ilvl="2">
        <w:start w:val="1"/>
        <w:numFmt w:val="decimal"/>
        <w:isLgl/>
        <w:lvlText w:val="%1.%2.%3"/>
        <w:lvlJc w:val="left"/>
        <w:pPr>
          <w:ind w:left="1985" w:hanging="851"/>
        </w:pPr>
        <w:rPr>
          <w:rFonts w:cs="Times New Roman" w:hint="default"/>
        </w:rPr>
      </w:lvl>
    </w:lvlOverride>
    <w:lvlOverride w:ilvl="3">
      <w:lvl w:ilvl="3">
        <w:start w:val="1"/>
        <w:numFmt w:val="decimal"/>
        <w:lvlText w:val="%1.%2.%3.%4"/>
        <w:lvlJc w:val="left"/>
        <w:pPr>
          <w:ind w:left="2268" w:hanging="567"/>
        </w:pPr>
        <w:rPr>
          <w:rFonts w:cs="Times New Roman" w:hint="default"/>
        </w:rPr>
      </w:lvl>
    </w:lvlOverride>
    <w:lvlOverride w:ilvl="4">
      <w:lvl w:ilvl="4">
        <w:start w:val="1"/>
        <w:numFmt w:val="decimal"/>
        <w:lvlText w:val="%1.%2.%3.%4.%5."/>
        <w:lvlJc w:val="left"/>
        <w:pPr>
          <w:ind w:left="2835" w:hanging="567"/>
        </w:pPr>
        <w:rPr>
          <w:rFonts w:cs="Times New Roman" w:hint="default"/>
        </w:rPr>
      </w:lvl>
    </w:lvlOverride>
    <w:lvlOverride w:ilvl="5">
      <w:lvl w:ilvl="5">
        <w:start w:val="1"/>
        <w:numFmt w:val="decimal"/>
        <w:lvlText w:val="%1.%2.%3.%4.%5.%6."/>
        <w:lvlJc w:val="left"/>
        <w:pPr>
          <w:ind w:left="3402" w:hanging="567"/>
        </w:pPr>
        <w:rPr>
          <w:rFonts w:cs="Times New Roman" w:hint="default"/>
        </w:rPr>
      </w:lvl>
    </w:lvlOverride>
    <w:lvlOverride w:ilvl="6">
      <w:lvl w:ilvl="6">
        <w:start w:val="1"/>
        <w:numFmt w:val="decimal"/>
        <w:lvlText w:val="%1.%2.%3.%4.%5.%6.%7."/>
        <w:lvlJc w:val="left"/>
        <w:pPr>
          <w:ind w:left="3969" w:hanging="567"/>
        </w:pPr>
        <w:rPr>
          <w:rFonts w:cs="Times New Roman" w:hint="default"/>
        </w:rPr>
      </w:lvl>
    </w:lvlOverride>
    <w:lvlOverride w:ilvl="7">
      <w:lvl w:ilvl="7">
        <w:start w:val="1"/>
        <w:numFmt w:val="decimal"/>
        <w:lvlText w:val="%1.%2.%3.%4.%5.%6.%7.%8."/>
        <w:lvlJc w:val="left"/>
        <w:pPr>
          <w:ind w:left="4536" w:hanging="567"/>
        </w:pPr>
        <w:rPr>
          <w:rFonts w:cs="Times New Roman" w:hint="default"/>
        </w:rPr>
      </w:lvl>
    </w:lvlOverride>
    <w:lvlOverride w:ilvl="8">
      <w:lvl w:ilvl="8">
        <w:start w:val="1"/>
        <w:numFmt w:val="decimal"/>
        <w:lvlText w:val="%1.%2.%3.%4.%5.%6.%7.%8.%9."/>
        <w:lvlJc w:val="left"/>
        <w:pPr>
          <w:ind w:left="5103" w:hanging="567"/>
        </w:pPr>
        <w:rPr>
          <w:rFonts w:cs="Times New Roman" w:hint="default"/>
        </w:rPr>
      </w:lvl>
    </w:lvlOverride>
  </w:num>
  <w:num w:numId="6">
    <w:abstractNumId w:val="7"/>
    <w:lvlOverride w:ilvl="0">
      <w:lvl w:ilvl="0">
        <w:start w:val="1"/>
        <w:numFmt w:val="decimal"/>
        <w:pStyle w:val="Affidavitnumbering"/>
        <w:lvlText w:val="%1"/>
        <w:lvlJc w:val="left"/>
        <w:pPr>
          <w:ind w:left="567" w:hanging="567"/>
        </w:pPr>
        <w:rPr>
          <w:rFonts w:cs="Times New Roman" w:hint="default"/>
        </w:rPr>
      </w:lvl>
    </w:lvlOverride>
    <w:lvlOverride w:ilvl="1">
      <w:lvl w:ilvl="1">
        <w:start w:val="1"/>
        <w:numFmt w:val="decimal"/>
        <w:lvlText w:val="%1.%2"/>
        <w:lvlJc w:val="left"/>
        <w:pPr>
          <w:ind w:left="1134" w:hanging="567"/>
        </w:pPr>
        <w:rPr>
          <w:rFonts w:cs="Times New Roman" w:hint="default"/>
        </w:rPr>
      </w:lvl>
    </w:lvlOverride>
    <w:lvlOverride w:ilvl="2">
      <w:lvl w:ilvl="2">
        <w:start w:val="1"/>
        <w:numFmt w:val="decimal"/>
        <w:lvlText w:val="%1.%2.%3"/>
        <w:lvlJc w:val="left"/>
        <w:pPr>
          <w:tabs>
            <w:tab w:val="num" w:pos="1985"/>
          </w:tabs>
          <w:ind w:left="1985" w:hanging="851"/>
        </w:pPr>
        <w:rPr>
          <w:rFonts w:cs="Times New Roman" w:hint="default"/>
        </w:rPr>
      </w:lvl>
    </w:lvlOverride>
    <w:lvlOverride w:ilvl="3">
      <w:lvl w:ilvl="3">
        <w:start w:val="1"/>
        <w:numFmt w:val="decimal"/>
        <w:lvlText w:val="%1.%2.%3.%4"/>
        <w:lvlJc w:val="left"/>
        <w:pPr>
          <w:ind w:left="2268" w:hanging="567"/>
        </w:pPr>
        <w:rPr>
          <w:rFonts w:cs="Times New Roman" w:hint="default"/>
        </w:rPr>
      </w:lvl>
    </w:lvlOverride>
    <w:lvlOverride w:ilvl="4">
      <w:lvl w:ilvl="4">
        <w:start w:val="1"/>
        <w:numFmt w:val="decimal"/>
        <w:lvlText w:val="%1.%2.%3.%4.%5."/>
        <w:lvlJc w:val="left"/>
        <w:pPr>
          <w:ind w:left="2835" w:hanging="567"/>
        </w:pPr>
        <w:rPr>
          <w:rFonts w:cs="Times New Roman" w:hint="default"/>
        </w:rPr>
      </w:lvl>
    </w:lvlOverride>
    <w:lvlOverride w:ilvl="5">
      <w:lvl w:ilvl="5">
        <w:start w:val="1"/>
        <w:numFmt w:val="decimal"/>
        <w:lvlText w:val="%1.%2.%3.%4.%5.%6."/>
        <w:lvlJc w:val="left"/>
        <w:pPr>
          <w:ind w:left="3402" w:hanging="567"/>
        </w:pPr>
        <w:rPr>
          <w:rFonts w:cs="Times New Roman" w:hint="default"/>
        </w:rPr>
      </w:lvl>
    </w:lvlOverride>
    <w:lvlOverride w:ilvl="6">
      <w:lvl w:ilvl="6">
        <w:start w:val="1"/>
        <w:numFmt w:val="decimal"/>
        <w:lvlText w:val="%1.%2.%3.%4.%5.%6.%7."/>
        <w:lvlJc w:val="left"/>
        <w:pPr>
          <w:ind w:left="3969" w:hanging="567"/>
        </w:pPr>
        <w:rPr>
          <w:rFonts w:cs="Times New Roman" w:hint="default"/>
        </w:rPr>
      </w:lvl>
    </w:lvlOverride>
    <w:lvlOverride w:ilvl="7">
      <w:lvl w:ilvl="7">
        <w:start w:val="1"/>
        <w:numFmt w:val="decimal"/>
        <w:lvlText w:val="%1.%2.%3.%4.%5.%6.%7.%8."/>
        <w:lvlJc w:val="left"/>
        <w:pPr>
          <w:ind w:left="4536" w:hanging="567"/>
        </w:pPr>
        <w:rPr>
          <w:rFonts w:cs="Times New Roman" w:hint="default"/>
        </w:rPr>
      </w:lvl>
    </w:lvlOverride>
    <w:lvlOverride w:ilvl="8">
      <w:lvl w:ilvl="8">
        <w:start w:val="1"/>
        <w:numFmt w:val="decimal"/>
        <w:lvlText w:val="%1.%2.%3.%4.%5.%6.%7.%8.%9."/>
        <w:lvlJc w:val="left"/>
        <w:pPr>
          <w:ind w:left="5103" w:hanging="567"/>
        </w:pPr>
        <w:rPr>
          <w:rFonts w:cs="Times New Roman" w:hint="default"/>
        </w:rPr>
      </w:lvl>
    </w:lvlOverride>
  </w:num>
  <w:num w:numId="7">
    <w:abstractNumId w:val="14"/>
    <w:lvlOverride w:ilvl="0">
      <w:lvl w:ilvl="0">
        <w:start w:val="1"/>
        <w:numFmt w:val="decimal"/>
        <w:lvlText w:val="%1)"/>
        <w:lvlJc w:val="left"/>
        <w:pPr>
          <w:ind w:left="567" w:hanging="567"/>
        </w:pPr>
        <w:rPr>
          <w:rFonts w:cs="Times New Roman" w:hint="default"/>
        </w:rPr>
      </w:lvl>
    </w:lvlOverride>
    <w:lvlOverride w:ilvl="1">
      <w:lvl w:ilvl="1">
        <w:start w:val="1"/>
        <w:numFmt w:val="lowerLetter"/>
        <w:lvlText w:val="%2)"/>
        <w:lvlJc w:val="left"/>
        <w:pPr>
          <w:ind w:left="1134" w:hanging="567"/>
        </w:pPr>
        <w:rPr>
          <w:rFonts w:cs="Times New Roman" w:hint="default"/>
        </w:rPr>
      </w:lvl>
    </w:lvlOverride>
    <w:lvlOverride w:ilvl="2">
      <w:lvl w:ilvl="2">
        <w:start w:val="1"/>
        <w:numFmt w:val="lowerRoman"/>
        <w:lvlText w:val="%3)"/>
        <w:lvlJc w:val="left"/>
        <w:pPr>
          <w:ind w:left="1701" w:hanging="567"/>
        </w:pPr>
        <w:rPr>
          <w:rFonts w:cs="Times New Roman" w:hint="default"/>
        </w:rPr>
      </w:lvl>
    </w:lvlOverride>
    <w:lvlOverride w:ilvl="3">
      <w:lvl w:ilvl="3">
        <w:start w:val="1"/>
        <w:numFmt w:val="decimal"/>
        <w:lvlText w:val="(%4)"/>
        <w:lvlJc w:val="left"/>
        <w:pPr>
          <w:ind w:left="425" w:hanging="425"/>
        </w:pPr>
        <w:rPr>
          <w:rFonts w:cs="Times New Roman" w:hint="default"/>
        </w:rPr>
      </w:lvl>
    </w:lvlOverride>
    <w:lvlOverride w:ilvl="4">
      <w:lvl w:ilvl="4">
        <w:start w:val="1"/>
        <w:numFmt w:val="lowerLetter"/>
        <w:lvlText w:val="(%5)"/>
        <w:lvlJc w:val="left"/>
        <w:pPr>
          <w:ind w:left="851" w:hanging="426"/>
        </w:pPr>
        <w:rPr>
          <w:rFonts w:cs="Times New Roman" w:hint="default"/>
        </w:rPr>
      </w:lvl>
    </w:lvlOverride>
    <w:lvlOverride w:ilvl="5">
      <w:lvl w:ilvl="5">
        <w:start w:val="1"/>
        <w:numFmt w:val="lowerRoman"/>
        <w:lvlText w:val="(%6)"/>
        <w:lvlJc w:val="left"/>
        <w:pPr>
          <w:ind w:left="3402" w:hanging="567"/>
        </w:pPr>
        <w:rPr>
          <w:rFonts w:cs="Times New Roman" w:hint="default"/>
        </w:rPr>
      </w:lvl>
    </w:lvlOverride>
    <w:lvlOverride w:ilvl="6">
      <w:lvl w:ilvl="6">
        <w:start w:val="1"/>
        <w:numFmt w:val="decimal"/>
        <w:lvlText w:val="%7."/>
        <w:lvlJc w:val="left"/>
        <w:pPr>
          <w:ind w:left="3969" w:hanging="567"/>
        </w:pPr>
        <w:rPr>
          <w:rFonts w:cs="Times New Roman" w:hint="default"/>
        </w:rPr>
      </w:lvl>
    </w:lvlOverride>
    <w:lvlOverride w:ilvl="7">
      <w:lvl w:ilvl="7">
        <w:start w:val="1"/>
        <w:numFmt w:val="lowerLetter"/>
        <w:lvlText w:val="%8."/>
        <w:lvlJc w:val="left"/>
        <w:pPr>
          <w:ind w:left="4536" w:hanging="567"/>
        </w:pPr>
        <w:rPr>
          <w:rFonts w:cs="Times New Roman" w:hint="default"/>
        </w:rPr>
      </w:lvl>
    </w:lvlOverride>
    <w:lvlOverride w:ilvl="8">
      <w:lvl w:ilvl="8">
        <w:start w:val="1"/>
        <w:numFmt w:val="lowerRoman"/>
        <w:lvlText w:val="%9."/>
        <w:lvlJc w:val="left"/>
        <w:pPr>
          <w:ind w:left="5103" w:hanging="567"/>
        </w:pPr>
        <w:rPr>
          <w:rFonts w:cs="Times New Roman" w:hint="default"/>
        </w:rPr>
      </w:lvl>
    </w:lvlOverride>
  </w:num>
  <w:num w:numId="8">
    <w:abstractNumId w:val="14"/>
    <w:lvlOverride w:ilvl="0">
      <w:lvl w:ilvl="0">
        <w:start w:val="1"/>
        <w:numFmt w:val="decimal"/>
        <w:lvlText w:val="%1)"/>
        <w:lvlJc w:val="left"/>
        <w:pPr>
          <w:ind w:left="567" w:hanging="567"/>
        </w:pPr>
        <w:rPr>
          <w:rFonts w:cs="Times New Roman" w:hint="default"/>
        </w:rPr>
      </w:lvl>
    </w:lvlOverride>
    <w:lvlOverride w:ilvl="1">
      <w:lvl w:ilvl="1">
        <w:start w:val="1"/>
        <w:numFmt w:val="lowerLetter"/>
        <w:lvlText w:val="%2)"/>
        <w:lvlJc w:val="left"/>
        <w:pPr>
          <w:ind w:left="1134" w:hanging="567"/>
        </w:pPr>
        <w:rPr>
          <w:rFonts w:cs="Times New Roman" w:hint="default"/>
        </w:rPr>
      </w:lvl>
    </w:lvlOverride>
    <w:lvlOverride w:ilvl="2">
      <w:lvl w:ilvl="2">
        <w:start w:val="1"/>
        <w:numFmt w:val="lowerRoman"/>
        <w:lvlText w:val="%3)"/>
        <w:lvlJc w:val="left"/>
        <w:pPr>
          <w:ind w:left="1701" w:hanging="567"/>
        </w:pPr>
        <w:rPr>
          <w:rFonts w:cs="Times New Roman" w:hint="default"/>
        </w:rPr>
      </w:lvl>
    </w:lvlOverride>
    <w:lvlOverride w:ilvl="3">
      <w:lvl w:ilvl="3">
        <w:start w:val="1"/>
        <w:numFmt w:val="decimal"/>
        <w:lvlText w:val="(%4)"/>
        <w:lvlJc w:val="left"/>
        <w:pPr>
          <w:ind w:left="425" w:hanging="425"/>
        </w:pPr>
        <w:rPr>
          <w:rFonts w:cs="Times New Roman" w:hint="default"/>
        </w:rPr>
      </w:lvl>
    </w:lvlOverride>
    <w:lvlOverride w:ilvl="4">
      <w:lvl w:ilvl="4">
        <w:start w:val="1"/>
        <w:numFmt w:val="lowerLetter"/>
        <w:lvlText w:val="(%5)"/>
        <w:lvlJc w:val="left"/>
        <w:pPr>
          <w:ind w:left="851" w:hanging="426"/>
        </w:pPr>
        <w:rPr>
          <w:rFonts w:cs="Times New Roman" w:hint="default"/>
        </w:rPr>
      </w:lvl>
    </w:lvlOverride>
    <w:lvlOverride w:ilvl="5">
      <w:lvl w:ilvl="5">
        <w:start w:val="1"/>
        <w:numFmt w:val="lowerRoman"/>
        <w:lvlText w:val="(%6)"/>
        <w:lvlJc w:val="left"/>
        <w:pPr>
          <w:ind w:left="1276" w:hanging="425"/>
        </w:pPr>
        <w:rPr>
          <w:rFonts w:cs="Times New Roman" w:hint="default"/>
        </w:rPr>
      </w:lvl>
    </w:lvlOverride>
    <w:lvlOverride w:ilvl="6">
      <w:lvl w:ilvl="6">
        <w:start w:val="1"/>
        <w:numFmt w:val="decimal"/>
        <w:lvlText w:val="%7."/>
        <w:lvlJc w:val="left"/>
        <w:pPr>
          <w:ind w:left="3969" w:hanging="567"/>
        </w:pPr>
        <w:rPr>
          <w:rFonts w:cs="Times New Roman" w:hint="default"/>
        </w:rPr>
      </w:lvl>
    </w:lvlOverride>
    <w:lvlOverride w:ilvl="7">
      <w:lvl w:ilvl="7">
        <w:start w:val="1"/>
        <w:numFmt w:val="lowerLetter"/>
        <w:lvlText w:val="%8."/>
        <w:lvlJc w:val="left"/>
        <w:pPr>
          <w:ind w:left="4536" w:hanging="567"/>
        </w:pPr>
        <w:rPr>
          <w:rFonts w:cs="Times New Roman" w:hint="default"/>
        </w:rPr>
      </w:lvl>
    </w:lvlOverride>
    <w:lvlOverride w:ilvl="8">
      <w:lvl w:ilvl="8">
        <w:start w:val="1"/>
        <w:numFmt w:val="lowerRoman"/>
        <w:lvlText w:val="%9."/>
        <w:lvlJc w:val="left"/>
        <w:pPr>
          <w:ind w:left="5103" w:hanging="567"/>
        </w:pPr>
        <w:rPr>
          <w:rFonts w:cs="Times New Roman" w:hint="default"/>
        </w:rPr>
      </w:lvl>
    </w:lvlOverride>
  </w:num>
  <w:num w:numId="9">
    <w:abstractNumId w:val="14"/>
    <w:lvlOverride w:ilvl="0">
      <w:lvl w:ilvl="0">
        <w:start w:val="1"/>
        <w:numFmt w:val="decimal"/>
        <w:lvlText w:val="%1)"/>
        <w:lvlJc w:val="left"/>
        <w:pPr>
          <w:ind w:left="567" w:hanging="567"/>
        </w:pPr>
        <w:rPr>
          <w:rFonts w:cs="Times New Roman" w:hint="default"/>
        </w:rPr>
      </w:lvl>
    </w:lvlOverride>
    <w:lvlOverride w:ilvl="1">
      <w:lvl w:ilvl="1">
        <w:start w:val="1"/>
        <w:numFmt w:val="lowerLetter"/>
        <w:lvlText w:val="%2)"/>
        <w:lvlJc w:val="left"/>
        <w:pPr>
          <w:ind w:left="1134" w:hanging="567"/>
        </w:pPr>
        <w:rPr>
          <w:rFonts w:cs="Times New Roman" w:hint="default"/>
        </w:rPr>
      </w:lvl>
    </w:lvlOverride>
    <w:lvlOverride w:ilvl="2">
      <w:lvl w:ilvl="2">
        <w:start w:val="1"/>
        <w:numFmt w:val="lowerRoman"/>
        <w:lvlText w:val="%3)"/>
        <w:lvlJc w:val="left"/>
        <w:pPr>
          <w:ind w:left="1701" w:hanging="567"/>
        </w:pPr>
        <w:rPr>
          <w:rFonts w:cs="Times New Roman" w:hint="default"/>
        </w:rPr>
      </w:lvl>
    </w:lvlOverride>
    <w:lvlOverride w:ilvl="3">
      <w:lvl w:ilvl="3">
        <w:start w:val="1"/>
        <w:numFmt w:val="decimal"/>
        <w:lvlText w:val="(%4)"/>
        <w:lvlJc w:val="left"/>
        <w:pPr>
          <w:ind w:left="425" w:hanging="425"/>
        </w:pPr>
        <w:rPr>
          <w:rFonts w:cs="Times New Roman" w:hint="default"/>
        </w:rPr>
      </w:lvl>
    </w:lvlOverride>
    <w:lvlOverride w:ilvl="4">
      <w:lvl w:ilvl="4">
        <w:start w:val="1"/>
        <w:numFmt w:val="lowerLetter"/>
        <w:lvlText w:val="(%5)"/>
        <w:lvlJc w:val="left"/>
        <w:pPr>
          <w:ind w:left="2835"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Override>
    <w:lvlOverride w:ilvl="5">
      <w:lvl w:ilvl="5">
        <w:start w:val="1"/>
        <w:numFmt w:val="lowerRoman"/>
        <w:lvlText w:val="(%6)"/>
        <w:lvlJc w:val="left"/>
        <w:pPr>
          <w:ind w:left="3402" w:hanging="567"/>
        </w:pPr>
        <w:rPr>
          <w:rFonts w:cs="Times New Roman" w:hint="default"/>
        </w:rPr>
      </w:lvl>
    </w:lvlOverride>
    <w:lvlOverride w:ilvl="6">
      <w:lvl w:ilvl="6">
        <w:start w:val="1"/>
        <w:numFmt w:val="decimal"/>
        <w:lvlText w:val="%7."/>
        <w:lvlJc w:val="left"/>
        <w:pPr>
          <w:ind w:left="3969" w:hanging="567"/>
        </w:pPr>
        <w:rPr>
          <w:rFonts w:cs="Times New Roman" w:hint="default"/>
        </w:rPr>
      </w:lvl>
    </w:lvlOverride>
    <w:lvlOverride w:ilvl="7">
      <w:lvl w:ilvl="7">
        <w:start w:val="1"/>
        <w:numFmt w:val="lowerLetter"/>
        <w:lvlText w:val="%8."/>
        <w:lvlJc w:val="left"/>
        <w:pPr>
          <w:ind w:left="4536" w:hanging="567"/>
        </w:pPr>
        <w:rPr>
          <w:rFonts w:cs="Times New Roman" w:hint="default"/>
        </w:rPr>
      </w:lvl>
    </w:lvlOverride>
    <w:lvlOverride w:ilvl="8">
      <w:lvl w:ilvl="8">
        <w:start w:val="1"/>
        <w:numFmt w:val="lowerRoman"/>
        <w:lvlText w:val="%9."/>
        <w:lvlJc w:val="left"/>
        <w:pPr>
          <w:ind w:left="5103" w:hanging="567"/>
        </w:pPr>
        <w:rPr>
          <w:rFonts w:cs="Times New Roman" w:hint="default"/>
        </w:rPr>
      </w:lvl>
    </w:lvlOverride>
  </w:num>
  <w:num w:numId="10">
    <w:abstractNumId w:val="14"/>
    <w:lvlOverride w:ilvl="0">
      <w:lvl w:ilvl="0">
        <w:start w:val="1"/>
        <w:numFmt w:val="decimal"/>
        <w:lvlText w:val="%1)"/>
        <w:lvlJc w:val="left"/>
        <w:pPr>
          <w:ind w:left="567" w:hanging="567"/>
        </w:pPr>
        <w:rPr>
          <w:rFonts w:cs="Times New Roman" w:hint="default"/>
        </w:rPr>
      </w:lvl>
    </w:lvlOverride>
    <w:lvlOverride w:ilvl="1">
      <w:lvl w:ilvl="1">
        <w:start w:val="1"/>
        <w:numFmt w:val="lowerLetter"/>
        <w:lvlText w:val="%2)"/>
        <w:lvlJc w:val="left"/>
        <w:pPr>
          <w:ind w:left="1134" w:hanging="567"/>
        </w:pPr>
        <w:rPr>
          <w:rFonts w:cs="Times New Roman" w:hint="default"/>
        </w:rPr>
      </w:lvl>
    </w:lvlOverride>
    <w:lvlOverride w:ilvl="2">
      <w:lvl w:ilvl="2">
        <w:start w:val="1"/>
        <w:numFmt w:val="lowerRoman"/>
        <w:lvlText w:val="%3)"/>
        <w:lvlJc w:val="left"/>
        <w:pPr>
          <w:ind w:left="1701" w:hanging="567"/>
        </w:pPr>
        <w:rPr>
          <w:rFonts w:cs="Times New Roman" w:hint="default"/>
        </w:rPr>
      </w:lvl>
    </w:lvlOverride>
    <w:lvlOverride w:ilvl="3">
      <w:lvl w:ilvl="3">
        <w:start w:val="1"/>
        <w:numFmt w:val="decimal"/>
        <w:lvlText w:val="(%4)"/>
        <w:lvlJc w:val="left"/>
        <w:pPr>
          <w:ind w:left="425" w:hanging="425"/>
        </w:pPr>
        <w:rPr>
          <w:rFonts w:cs="Times New Roman" w:hint="default"/>
        </w:rPr>
      </w:lvl>
    </w:lvlOverride>
    <w:lvlOverride w:ilvl="4">
      <w:lvl w:ilvl="4">
        <w:start w:val="1"/>
        <w:numFmt w:val="lowerLetter"/>
        <w:lvlText w:val="(%5)"/>
        <w:lvlJc w:val="left"/>
        <w:pPr>
          <w:ind w:left="851" w:hanging="426"/>
        </w:pPr>
        <w:rPr>
          <w:rFonts w:cs="Times New Roman" w:hint="default"/>
        </w:rPr>
      </w:lvl>
    </w:lvlOverride>
    <w:lvlOverride w:ilvl="5">
      <w:lvl w:ilvl="5">
        <w:start w:val="1"/>
        <w:numFmt w:val="lowerRoman"/>
        <w:lvlText w:val="(%6)"/>
        <w:lvlJc w:val="left"/>
        <w:pPr>
          <w:ind w:left="1276" w:hanging="425"/>
        </w:pPr>
        <w:rPr>
          <w:rFonts w:cs="Times New Roman" w:hint="default"/>
        </w:rPr>
      </w:lvl>
    </w:lvlOverride>
    <w:lvlOverride w:ilvl="6">
      <w:lvl w:ilvl="6">
        <w:start w:val="1"/>
        <w:numFmt w:val="decimal"/>
        <w:lvlText w:val="%7."/>
        <w:lvlJc w:val="left"/>
        <w:pPr>
          <w:ind w:left="3969" w:hanging="567"/>
        </w:pPr>
        <w:rPr>
          <w:rFonts w:cs="Times New Roman" w:hint="default"/>
        </w:rPr>
      </w:lvl>
    </w:lvlOverride>
    <w:lvlOverride w:ilvl="7">
      <w:lvl w:ilvl="7">
        <w:start w:val="1"/>
        <w:numFmt w:val="lowerLetter"/>
        <w:lvlText w:val="%8."/>
        <w:lvlJc w:val="left"/>
        <w:pPr>
          <w:ind w:left="4536" w:hanging="567"/>
        </w:pPr>
        <w:rPr>
          <w:rFonts w:cs="Times New Roman" w:hint="default"/>
        </w:rPr>
      </w:lvl>
    </w:lvlOverride>
    <w:lvlOverride w:ilvl="8">
      <w:lvl w:ilvl="8">
        <w:start w:val="1"/>
        <w:numFmt w:val="lowerRoman"/>
        <w:lvlText w:val="%9."/>
        <w:lvlJc w:val="left"/>
        <w:pPr>
          <w:ind w:left="5103" w:hanging="567"/>
        </w:pPr>
        <w:rPr>
          <w:rFonts w:cs="Times New Roman" w:hint="default"/>
        </w:rPr>
      </w:lvl>
    </w:lvlOverride>
  </w:num>
  <w:num w:numId="11">
    <w:abstractNumId w:val="14"/>
    <w:lvlOverride w:ilvl="0">
      <w:lvl w:ilvl="0">
        <w:start w:val="1"/>
        <w:numFmt w:val="decimal"/>
        <w:lvlText w:val="%1)"/>
        <w:lvlJc w:val="left"/>
        <w:pPr>
          <w:ind w:left="567" w:hanging="567"/>
        </w:pPr>
        <w:rPr>
          <w:rFonts w:cs="Times New Roman" w:hint="default"/>
        </w:rPr>
      </w:lvl>
    </w:lvlOverride>
    <w:lvlOverride w:ilvl="1">
      <w:lvl w:ilvl="1">
        <w:start w:val="1"/>
        <w:numFmt w:val="lowerLetter"/>
        <w:lvlText w:val="%2)"/>
        <w:lvlJc w:val="left"/>
        <w:pPr>
          <w:ind w:left="1134" w:hanging="567"/>
        </w:pPr>
        <w:rPr>
          <w:rFonts w:cs="Times New Roman" w:hint="default"/>
        </w:rPr>
      </w:lvl>
    </w:lvlOverride>
    <w:lvlOverride w:ilvl="2">
      <w:lvl w:ilvl="2">
        <w:start w:val="1"/>
        <w:numFmt w:val="lowerRoman"/>
        <w:lvlText w:val="%3)"/>
        <w:lvlJc w:val="left"/>
        <w:pPr>
          <w:ind w:left="1701" w:hanging="567"/>
        </w:pPr>
        <w:rPr>
          <w:rFonts w:cs="Times New Roman" w:hint="default"/>
        </w:rPr>
      </w:lvl>
    </w:lvlOverride>
    <w:lvlOverride w:ilvl="3">
      <w:lvl w:ilvl="3">
        <w:start w:val="1"/>
        <w:numFmt w:val="decimal"/>
        <w:lvlText w:val="(%4)"/>
        <w:lvlJc w:val="left"/>
        <w:pPr>
          <w:ind w:left="425" w:hanging="425"/>
        </w:pPr>
        <w:rPr>
          <w:rFonts w:cs="Times New Roman" w:hint="default"/>
        </w:rPr>
      </w:lvl>
    </w:lvlOverride>
    <w:lvlOverride w:ilvl="4">
      <w:lvl w:ilvl="4">
        <w:start w:val="1"/>
        <w:numFmt w:val="lowerLetter"/>
        <w:lvlText w:val="(%5)"/>
        <w:lvlJc w:val="left"/>
        <w:pPr>
          <w:ind w:left="851" w:hanging="426"/>
        </w:pPr>
        <w:rPr>
          <w:rFonts w:cs="Times New Roman" w:hint="default"/>
        </w:rPr>
      </w:lvl>
    </w:lvlOverride>
    <w:lvlOverride w:ilvl="5">
      <w:lvl w:ilvl="5">
        <w:start w:val="1"/>
        <w:numFmt w:val="lowerRoman"/>
        <w:lvlText w:val="(%6)"/>
        <w:lvlJc w:val="left"/>
        <w:pPr>
          <w:ind w:left="1276" w:hanging="425"/>
        </w:pPr>
        <w:rPr>
          <w:rFonts w:cs="Times New Roman" w:hint="default"/>
        </w:rPr>
      </w:lvl>
    </w:lvlOverride>
    <w:lvlOverride w:ilvl="6">
      <w:lvl w:ilvl="6">
        <w:start w:val="1"/>
        <w:numFmt w:val="decimal"/>
        <w:lvlText w:val="%7."/>
        <w:lvlJc w:val="left"/>
        <w:pPr>
          <w:ind w:left="3969" w:hanging="567"/>
        </w:pPr>
        <w:rPr>
          <w:rFonts w:cs="Times New Roman" w:hint="default"/>
        </w:rPr>
      </w:lvl>
    </w:lvlOverride>
    <w:lvlOverride w:ilvl="7">
      <w:lvl w:ilvl="7">
        <w:start w:val="1"/>
        <w:numFmt w:val="lowerLetter"/>
        <w:lvlText w:val="%8."/>
        <w:lvlJc w:val="left"/>
        <w:pPr>
          <w:ind w:left="4536" w:hanging="567"/>
        </w:pPr>
        <w:rPr>
          <w:rFonts w:cs="Times New Roman" w:hint="default"/>
        </w:rPr>
      </w:lvl>
    </w:lvlOverride>
    <w:lvlOverride w:ilvl="8">
      <w:lvl w:ilvl="8">
        <w:start w:val="1"/>
        <w:numFmt w:val="lowerRoman"/>
        <w:lvlText w:val="%9."/>
        <w:lvlJc w:val="left"/>
        <w:pPr>
          <w:ind w:left="5103" w:hanging="567"/>
        </w:pPr>
        <w:rPr>
          <w:rFonts w:cs="Times New Roman" w:hint="default"/>
        </w:rPr>
      </w:lvl>
    </w:lvlOverride>
  </w:num>
  <w:num w:numId="12">
    <w:abstractNumId w:val="14"/>
    <w:lvlOverride w:ilvl="0">
      <w:lvl w:ilvl="0">
        <w:start w:val="1"/>
        <w:numFmt w:val="decimal"/>
        <w:lvlText w:val="%1)"/>
        <w:lvlJc w:val="left"/>
        <w:pPr>
          <w:ind w:left="567" w:hanging="567"/>
        </w:pPr>
        <w:rPr>
          <w:rFonts w:cs="Times New Roman" w:hint="default"/>
        </w:rPr>
      </w:lvl>
    </w:lvlOverride>
    <w:lvlOverride w:ilvl="1">
      <w:lvl w:ilvl="1">
        <w:start w:val="1"/>
        <w:numFmt w:val="lowerLetter"/>
        <w:lvlText w:val="%2)"/>
        <w:lvlJc w:val="left"/>
        <w:pPr>
          <w:ind w:left="1134" w:hanging="567"/>
        </w:pPr>
        <w:rPr>
          <w:rFonts w:cs="Times New Roman" w:hint="default"/>
        </w:rPr>
      </w:lvl>
    </w:lvlOverride>
    <w:lvlOverride w:ilvl="2">
      <w:lvl w:ilvl="2">
        <w:start w:val="1"/>
        <w:numFmt w:val="lowerRoman"/>
        <w:lvlText w:val="%3)"/>
        <w:lvlJc w:val="left"/>
        <w:pPr>
          <w:ind w:left="1701" w:hanging="567"/>
        </w:pPr>
        <w:rPr>
          <w:rFonts w:cs="Times New Roman" w:hint="default"/>
        </w:rPr>
      </w:lvl>
    </w:lvlOverride>
    <w:lvlOverride w:ilvl="3">
      <w:lvl w:ilvl="3">
        <w:start w:val="1"/>
        <w:numFmt w:val="decimal"/>
        <w:lvlText w:val="(%4)"/>
        <w:lvlJc w:val="left"/>
        <w:pPr>
          <w:ind w:left="425" w:hanging="425"/>
        </w:pPr>
        <w:rPr>
          <w:rFonts w:cs="Times New Roman" w:hint="default"/>
        </w:rPr>
      </w:lvl>
    </w:lvlOverride>
    <w:lvlOverride w:ilvl="4">
      <w:lvl w:ilvl="4">
        <w:start w:val="1"/>
        <w:numFmt w:val="lowerLetter"/>
        <w:lvlText w:val="(%5)"/>
        <w:lvlJc w:val="left"/>
        <w:pPr>
          <w:ind w:left="851" w:hanging="426"/>
        </w:pPr>
        <w:rPr>
          <w:rFonts w:cs="Times New Roman" w:hint="default"/>
        </w:rPr>
      </w:lvl>
    </w:lvlOverride>
    <w:lvlOverride w:ilvl="5">
      <w:lvl w:ilvl="5">
        <w:start w:val="1"/>
        <w:numFmt w:val="lowerRoman"/>
        <w:lvlText w:val="(%6)"/>
        <w:lvlJc w:val="left"/>
        <w:pPr>
          <w:ind w:left="1276" w:hanging="425"/>
        </w:pPr>
        <w:rPr>
          <w:rFonts w:cs="Times New Roman" w:hint="default"/>
        </w:rPr>
      </w:lvl>
    </w:lvlOverride>
    <w:lvlOverride w:ilvl="6">
      <w:lvl w:ilvl="6">
        <w:start w:val="1"/>
        <w:numFmt w:val="decimal"/>
        <w:lvlText w:val="%7."/>
        <w:lvlJc w:val="left"/>
        <w:pPr>
          <w:ind w:left="3969" w:hanging="567"/>
        </w:pPr>
        <w:rPr>
          <w:rFonts w:cs="Times New Roman" w:hint="default"/>
        </w:rPr>
      </w:lvl>
    </w:lvlOverride>
    <w:lvlOverride w:ilvl="7">
      <w:lvl w:ilvl="7">
        <w:start w:val="1"/>
        <w:numFmt w:val="lowerLetter"/>
        <w:lvlText w:val="%8."/>
        <w:lvlJc w:val="left"/>
        <w:pPr>
          <w:ind w:left="4536" w:hanging="567"/>
        </w:pPr>
        <w:rPr>
          <w:rFonts w:cs="Times New Roman" w:hint="default"/>
        </w:rPr>
      </w:lvl>
    </w:lvlOverride>
    <w:lvlOverride w:ilvl="8">
      <w:lvl w:ilvl="8">
        <w:start w:val="1"/>
        <w:numFmt w:val="lowerRoman"/>
        <w:lvlText w:val="%9."/>
        <w:lvlJc w:val="left"/>
        <w:pPr>
          <w:ind w:left="5103" w:hanging="567"/>
        </w:pPr>
        <w:rPr>
          <w:rFonts w:cs="Times New Roman" w:hint="default"/>
        </w:rPr>
      </w:lvl>
    </w:lvlOverride>
  </w:num>
  <w:num w:numId="13">
    <w:abstractNumId w:val="17"/>
  </w:num>
  <w:num w:numId="14">
    <w:abstractNumId w:val="17"/>
    <w:lvlOverride w:ilvl="0">
      <w:lvl w:ilvl="0">
        <w:start w:val="1"/>
        <w:numFmt w:val="decimal"/>
        <w:pStyle w:val="Sectionnumbering"/>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1134" w:hanging="567"/>
        </w:pPr>
        <w:rPr>
          <w:rFonts w:cs="Times New Roman" w:hint="default"/>
        </w:rPr>
      </w:lvl>
    </w:lvlOverride>
    <w:lvlOverride w:ilvl="2">
      <w:lvl w:ilvl="2">
        <w:start w:val="1"/>
        <w:numFmt w:val="lowerRoman"/>
        <w:pStyle w:val="Sectionnumbering3"/>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5">
    <w:abstractNumId w:val="17"/>
    <w:lvlOverride w:ilvl="0">
      <w:lvl w:ilvl="0">
        <w:start w:val="1"/>
        <w:numFmt w:val="decimal"/>
        <w:pStyle w:val="Sectionnumbering"/>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992" w:hanging="425"/>
        </w:pPr>
        <w:rPr>
          <w:rFonts w:cs="Times New Roman" w:hint="default"/>
        </w:rPr>
      </w:lvl>
    </w:lvlOverride>
    <w:lvlOverride w:ilvl="2">
      <w:lvl w:ilvl="2">
        <w:start w:val="1"/>
        <w:numFmt w:val="lowerRoman"/>
        <w:pStyle w:val="Sectionnumbering3"/>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6">
    <w:abstractNumId w:val="17"/>
    <w:lvlOverride w:ilvl="0">
      <w:lvl w:ilvl="0">
        <w:start w:val="1"/>
        <w:numFmt w:val="decimal"/>
        <w:pStyle w:val="Sectionnumbering"/>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992" w:hanging="425"/>
        </w:pPr>
        <w:rPr>
          <w:rFonts w:cs="Times New Roman" w:hint="default"/>
        </w:rPr>
      </w:lvl>
    </w:lvlOverride>
    <w:lvlOverride w:ilvl="2">
      <w:lvl w:ilvl="2">
        <w:start w:val="1"/>
        <w:numFmt w:val="lowerRoman"/>
        <w:pStyle w:val="Sectionnumbering3"/>
        <w:lvlText w:val="(%3)"/>
        <w:lvlJc w:val="left"/>
        <w:pPr>
          <w:ind w:left="1276" w:hanging="284"/>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7">
    <w:abstractNumId w:val="17"/>
    <w:lvlOverride w:ilvl="0">
      <w:lvl w:ilvl="0">
        <w:start w:val="1"/>
        <w:numFmt w:val="decimal"/>
        <w:pStyle w:val="Sectionnumbering"/>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992" w:hanging="425"/>
        </w:pPr>
        <w:rPr>
          <w:rFonts w:cs="Times New Roman" w:hint="default"/>
        </w:rPr>
      </w:lvl>
    </w:lvlOverride>
    <w:lvlOverride w:ilvl="2">
      <w:lvl w:ilvl="2">
        <w:start w:val="1"/>
        <w:numFmt w:val="lowerRoman"/>
        <w:pStyle w:val="Sectionnumbering3"/>
        <w:lvlText w:val="(%3)"/>
        <w:lvlJc w:val="left"/>
        <w:pPr>
          <w:ind w:left="1418" w:hanging="4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8">
    <w:abstractNumId w:val="17"/>
    <w:lvlOverride w:ilvl="0">
      <w:lvl w:ilvl="0">
        <w:start w:val="1"/>
        <w:numFmt w:val="decimal"/>
        <w:pStyle w:val="Sectionnumbering"/>
        <w:isLgl/>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992" w:hanging="567"/>
        </w:pPr>
        <w:rPr>
          <w:rFonts w:cs="Times New Roman" w:hint="default"/>
        </w:rPr>
      </w:lvl>
    </w:lvlOverride>
    <w:lvlOverride w:ilvl="2">
      <w:lvl w:ilvl="2">
        <w:start w:val="1"/>
        <w:numFmt w:val="lowerRoman"/>
        <w:pStyle w:val="Sectionnumbering3"/>
        <w:lvlText w:val="%3)"/>
        <w:lvlJc w:val="left"/>
        <w:pPr>
          <w:ind w:left="1417" w:hanging="567"/>
        </w:pPr>
        <w:rPr>
          <w:rFonts w:cs="Times New Roman" w:hint="default"/>
        </w:rPr>
      </w:lvl>
    </w:lvlOverride>
    <w:lvlOverride w:ilvl="3">
      <w:lvl w:ilvl="3">
        <w:start w:val="1"/>
        <w:numFmt w:val="decimal"/>
        <w:lvlText w:val="(%4)"/>
        <w:lvlJc w:val="left"/>
        <w:pPr>
          <w:ind w:left="1842" w:hanging="567"/>
        </w:pPr>
        <w:rPr>
          <w:rFonts w:cs="Times New Roman" w:hint="default"/>
        </w:rPr>
      </w:lvl>
    </w:lvlOverride>
    <w:lvlOverride w:ilvl="4">
      <w:lvl w:ilvl="4">
        <w:start w:val="1"/>
        <w:numFmt w:val="lowerLetter"/>
        <w:lvlText w:val="(%5)"/>
        <w:lvlJc w:val="left"/>
        <w:pPr>
          <w:ind w:left="2267" w:hanging="567"/>
        </w:pPr>
        <w:rPr>
          <w:rFonts w:cs="Times New Roman" w:hint="default"/>
        </w:rPr>
      </w:lvl>
    </w:lvlOverride>
    <w:lvlOverride w:ilvl="5">
      <w:lvl w:ilvl="5">
        <w:start w:val="1"/>
        <w:numFmt w:val="lowerRoman"/>
        <w:lvlText w:val="(%6)"/>
        <w:lvlJc w:val="left"/>
        <w:pPr>
          <w:ind w:left="2692" w:hanging="567"/>
        </w:pPr>
        <w:rPr>
          <w:rFonts w:cs="Times New Roman" w:hint="default"/>
        </w:rPr>
      </w:lvl>
    </w:lvlOverride>
    <w:lvlOverride w:ilvl="6">
      <w:lvl w:ilvl="6">
        <w:start w:val="1"/>
        <w:numFmt w:val="decimal"/>
        <w:lvlText w:val="%7."/>
        <w:lvlJc w:val="left"/>
        <w:pPr>
          <w:ind w:left="3117" w:hanging="567"/>
        </w:pPr>
        <w:rPr>
          <w:rFonts w:cs="Times New Roman" w:hint="default"/>
        </w:rPr>
      </w:lvl>
    </w:lvlOverride>
    <w:lvlOverride w:ilvl="7">
      <w:lvl w:ilvl="7">
        <w:start w:val="1"/>
        <w:numFmt w:val="lowerLetter"/>
        <w:lvlText w:val="%8."/>
        <w:lvlJc w:val="left"/>
        <w:pPr>
          <w:ind w:left="3542" w:hanging="567"/>
        </w:pPr>
        <w:rPr>
          <w:rFonts w:cs="Times New Roman" w:hint="default"/>
        </w:rPr>
      </w:lvl>
    </w:lvlOverride>
    <w:lvlOverride w:ilvl="8">
      <w:lvl w:ilvl="8">
        <w:start w:val="1"/>
        <w:numFmt w:val="lowerRoman"/>
        <w:lvlText w:val="%9."/>
        <w:lvlJc w:val="left"/>
        <w:pPr>
          <w:ind w:left="3967" w:hanging="567"/>
        </w:pPr>
        <w:rPr>
          <w:rFonts w:cs="Times New Roman" w:hint="default"/>
        </w:rPr>
      </w:lvl>
    </w:lvlOverride>
  </w:num>
  <w:num w:numId="19">
    <w:abstractNumId w:val="17"/>
    <w:lvlOverride w:ilvl="0">
      <w:lvl w:ilvl="0">
        <w:start w:val="1"/>
        <w:numFmt w:val="decimal"/>
        <w:pStyle w:val="Sectionnumbering"/>
        <w:isLgl/>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992" w:hanging="425"/>
        </w:pPr>
        <w:rPr>
          <w:rFonts w:cs="Times New Roman" w:hint="default"/>
        </w:rPr>
      </w:lvl>
    </w:lvlOverride>
    <w:lvlOverride w:ilvl="2">
      <w:lvl w:ilvl="2">
        <w:start w:val="1"/>
        <w:numFmt w:val="lowerRoman"/>
        <w:pStyle w:val="Sectionnumbering3"/>
        <w:lvlText w:val="%3)"/>
        <w:lvlJc w:val="left"/>
        <w:pPr>
          <w:ind w:left="1417" w:hanging="425"/>
        </w:pPr>
        <w:rPr>
          <w:rFonts w:cs="Times New Roman" w:hint="default"/>
        </w:rPr>
      </w:lvl>
    </w:lvlOverride>
    <w:lvlOverride w:ilvl="3">
      <w:lvl w:ilvl="3">
        <w:start w:val="1"/>
        <w:numFmt w:val="decimal"/>
        <w:lvlText w:val="(%4)"/>
        <w:lvlJc w:val="left"/>
        <w:pPr>
          <w:ind w:left="1842" w:hanging="567"/>
        </w:pPr>
        <w:rPr>
          <w:rFonts w:cs="Times New Roman" w:hint="default"/>
        </w:rPr>
      </w:lvl>
    </w:lvlOverride>
    <w:lvlOverride w:ilvl="4">
      <w:lvl w:ilvl="4">
        <w:start w:val="1"/>
        <w:numFmt w:val="lowerLetter"/>
        <w:lvlText w:val="(%5)"/>
        <w:lvlJc w:val="left"/>
        <w:pPr>
          <w:ind w:left="2267" w:hanging="567"/>
        </w:pPr>
        <w:rPr>
          <w:rFonts w:cs="Times New Roman" w:hint="default"/>
        </w:rPr>
      </w:lvl>
    </w:lvlOverride>
    <w:lvlOverride w:ilvl="5">
      <w:lvl w:ilvl="5">
        <w:start w:val="1"/>
        <w:numFmt w:val="lowerRoman"/>
        <w:lvlText w:val="(%6)"/>
        <w:lvlJc w:val="left"/>
        <w:pPr>
          <w:ind w:left="2692" w:hanging="567"/>
        </w:pPr>
        <w:rPr>
          <w:rFonts w:cs="Times New Roman" w:hint="default"/>
        </w:rPr>
      </w:lvl>
    </w:lvlOverride>
    <w:lvlOverride w:ilvl="6">
      <w:lvl w:ilvl="6">
        <w:start w:val="1"/>
        <w:numFmt w:val="decimal"/>
        <w:lvlText w:val="%7."/>
        <w:lvlJc w:val="left"/>
        <w:pPr>
          <w:ind w:left="3117" w:hanging="567"/>
        </w:pPr>
        <w:rPr>
          <w:rFonts w:cs="Times New Roman" w:hint="default"/>
        </w:rPr>
      </w:lvl>
    </w:lvlOverride>
    <w:lvlOverride w:ilvl="7">
      <w:lvl w:ilvl="7">
        <w:start w:val="1"/>
        <w:numFmt w:val="lowerLetter"/>
        <w:lvlText w:val="%8."/>
        <w:lvlJc w:val="left"/>
        <w:pPr>
          <w:ind w:left="3542" w:hanging="567"/>
        </w:pPr>
        <w:rPr>
          <w:rFonts w:cs="Times New Roman" w:hint="default"/>
        </w:rPr>
      </w:lvl>
    </w:lvlOverride>
    <w:lvlOverride w:ilvl="8">
      <w:lvl w:ilvl="8">
        <w:start w:val="1"/>
        <w:numFmt w:val="lowerRoman"/>
        <w:lvlText w:val="%9."/>
        <w:lvlJc w:val="left"/>
        <w:pPr>
          <w:ind w:left="3967" w:hanging="567"/>
        </w:pPr>
        <w:rPr>
          <w:rFonts w:cs="Times New Roman" w:hint="default"/>
        </w:rPr>
      </w:lvl>
    </w:lvlOverride>
  </w:num>
  <w:num w:numId="20">
    <w:abstractNumId w:val="17"/>
    <w:lvlOverride w:ilvl="0">
      <w:lvl w:ilvl="0">
        <w:start w:val="1"/>
        <w:numFmt w:val="decimal"/>
        <w:pStyle w:val="Sectionnumbering"/>
        <w:isLgl/>
        <w:lvlText w:val="(%1)"/>
        <w:lvlJc w:val="left"/>
        <w:pPr>
          <w:ind w:left="567" w:hanging="567"/>
        </w:pPr>
        <w:rPr>
          <w:rFonts w:cs="Times New Roman" w:hint="default"/>
        </w:rPr>
      </w:lvl>
    </w:lvlOverride>
    <w:lvlOverride w:ilvl="1">
      <w:lvl w:ilvl="1">
        <w:start w:val="1"/>
        <w:numFmt w:val="lowerLetter"/>
        <w:pStyle w:val="Sectionnumbering2"/>
        <w:lvlText w:val="(%2)"/>
        <w:lvlJc w:val="left"/>
        <w:pPr>
          <w:ind w:left="992" w:hanging="425"/>
        </w:pPr>
        <w:rPr>
          <w:rFonts w:cs="Times New Roman" w:hint="default"/>
        </w:rPr>
      </w:lvl>
    </w:lvlOverride>
    <w:lvlOverride w:ilvl="2">
      <w:lvl w:ilvl="2">
        <w:start w:val="1"/>
        <w:numFmt w:val="lowerRoman"/>
        <w:pStyle w:val="Sectionnumbering3"/>
        <w:lvlText w:val="(%3)"/>
        <w:lvlJc w:val="left"/>
        <w:pPr>
          <w:ind w:left="1417" w:hanging="425"/>
        </w:pPr>
        <w:rPr>
          <w:rFonts w:cs="Times New Roman" w:hint="default"/>
        </w:rPr>
      </w:lvl>
    </w:lvlOverride>
    <w:lvlOverride w:ilvl="3">
      <w:lvl w:ilvl="3">
        <w:start w:val="1"/>
        <w:numFmt w:val="decimal"/>
        <w:lvlText w:val="(%4)"/>
        <w:lvlJc w:val="left"/>
        <w:pPr>
          <w:ind w:left="1842" w:hanging="567"/>
        </w:pPr>
        <w:rPr>
          <w:rFonts w:cs="Times New Roman" w:hint="default"/>
        </w:rPr>
      </w:lvl>
    </w:lvlOverride>
    <w:lvlOverride w:ilvl="4">
      <w:lvl w:ilvl="4">
        <w:start w:val="1"/>
        <w:numFmt w:val="lowerLetter"/>
        <w:lvlText w:val="(%5)"/>
        <w:lvlJc w:val="left"/>
        <w:pPr>
          <w:ind w:left="2267" w:hanging="567"/>
        </w:pPr>
        <w:rPr>
          <w:rFonts w:cs="Times New Roman" w:hint="default"/>
        </w:rPr>
      </w:lvl>
    </w:lvlOverride>
    <w:lvlOverride w:ilvl="5">
      <w:lvl w:ilvl="5">
        <w:start w:val="1"/>
        <w:numFmt w:val="lowerRoman"/>
        <w:lvlText w:val="(%6)"/>
        <w:lvlJc w:val="left"/>
        <w:pPr>
          <w:ind w:left="2692" w:hanging="567"/>
        </w:pPr>
        <w:rPr>
          <w:rFonts w:cs="Times New Roman" w:hint="default"/>
        </w:rPr>
      </w:lvl>
    </w:lvlOverride>
    <w:lvlOverride w:ilvl="6">
      <w:lvl w:ilvl="6">
        <w:start w:val="1"/>
        <w:numFmt w:val="decimal"/>
        <w:lvlText w:val="%7."/>
        <w:lvlJc w:val="left"/>
        <w:pPr>
          <w:ind w:left="3117" w:hanging="567"/>
        </w:pPr>
        <w:rPr>
          <w:rFonts w:cs="Times New Roman" w:hint="default"/>
        </w:rPr>
      </w:lvl>
    </w:lvlOverride>
    <w:lvlOverride w:ilvl="7">
      <w:lvl w:ilvl="7">
        <w:start w:val="1"/>
        <w:numFmt w:val="lowerLetter"/>
        <w:lvlText w:val="%8."/>
        <w:lvlJc w:val="left"/>
        <w:pPr>
          <w:ind w:left="3542" w:hanging="567"/>
        </w:pPr>
        <w:rPr>
          <w:rFonts w:cs="Times New Roman" w:hint="default"/>
        </w:rPr>
      </w:lvl>
    </w:lvlOverride>
    <w:lvlOverride w:ilvl="8">
      <w:lvl w:ilvl="8">
        <w:start w:val="1"/>
        <w:numFmt w:val="lowerRoman"/>
        <w:lvlText w:val="%9."/>
        <w:lvlJc w:val="left"/>
        <w:pPr>
          <w:ind w:left="3967" w:hanging="567"/>
        </w:pPr>
        <w:rPr>
          <w:rFonts w:cs="Times New Roman" w:hint="default"/>
        </w:rPr>
      </w:lvl>
    </w:lvlOverride>
  </w:num>
  <w:num w:numId="21">
    <w:abstractNumId w:val="3"/>
  </w:num>
  <w:num w:numId="22">
    <w:abstractNumId w:val="2"/>
  </w:num>
  <w:num w:numId="23">
    <w:abstractNumId w:val="1"/>
  </w:num>
  <w:num w:numId="24">
    <w:abstractNumId w:val="0"/>
  </w:num>
  <w:num w:numId="25">
    <w:abstractNumId w:val="17"/>
  </w:num>
  <w:num w:numId="26">
    <w:abstractNumId w:val="4"/>
  </w:num>
  <w:num w:numId="27">
    <w:abstractNumId w:val="17"/>
  </w:num>
  <w:num w:numId="28">
    <w:abstractNumId w:val="11"/>
  </w:num>
  <w:num w:numId="29">
    <w:abstractNumId w:val="5"/>
  </w:num>
  <w:num w:numId="30">
    <w:abstractNumId w:val="12"/>
  </w:num>
  <w:num w:numId="31">
    <w:abstractNumId w:val="9"/>
  </w:num>
  <w:num w:numId="32">
    <w:abstractNumId w:val="10"/>
  </w:num>
  <w:num w:numId="33">
    <w:abstractNumId w:val="15"/>
  </w:num>
  <w:num w:numId="34">
    <w:abstractNumId w:val="16"/>
  </w:num>
  <w:num w:numId="35">
    <w:abstractNumId w:val="8"/>
  </w:num>
  <w:num w:numId="36">
    <w:abstractNumId w:val="18"/>
  </w:num>
  <w:num w:numId="37">
    <w:abstractNumId w:val="1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3B0"/>
    <w:rsid w:val="000039ED"/>
    <w:rsid w:val="000059D6"/>
    <w:rsid w:val="00007430"/>
    <w:rsid w:val="00010BBD"/>
    <w:rsid w:val="00016AC2"/>
    <w:rsid w:val="00016FA2"/>
    <w:rsid w:val="00017218"/>
    <w:rsid w:val="00021776"/>
    <w:rsid w:val="00021907"/>
    <w:rsid w:val="00022D29"/>
    <w:rsid w:val="00023C8B"/>
    <w:rsid w:val="00024024"/>
    <w:rsid w:val="00024148"/>
    <w:rsid w:val="00024794"/>
    <w:rsid w:val="00024A65"/>
    <w:rsid w:val="00027607"/>
    <w:rsid w:val="00033469"/>
    <w:rsid w:val="00035B53"/>
    <w:rsid w:val="00036AF3"/>
    <w:rsid w:val="00037E19"/>
    <w:rsid w:val="00043AC5"/>
    <w:rsid w:val="00044211"/>
    <w:rsid w:val="000445D5"/>
    <w:rsid w:val="00050661"/>
    <w:rsid w:val="00050C1A"/>
    <w:rsid w:val="00053CAC"/>
    <w:rsid w:val="000566F8"/>
    <w:rsid w:val="00060091"/>
    <w:rsid w:val="00060C6B"/>
    <w:rsid w:val="000633A2"/>
    <w:rsid w:val="00063516"/>
    <w:rsid w:val="00063BCC"/>
    <w:rsid w:val="00064565"/>
    <w:rsid w:val="00064DF9"/>
    <w:rsid w:val="00065288"/>
    <w:rsid w:val="00067CE7"/>
    <w:rsid w:val="0007217E"/>
    <w:rsid w:val="000731E2"/>
    <w:rsid w:val="00074616"/>
    <w:rsid w:val="00075269"/>
    <w:rsid w:val="0007552D"/>
    <w:rsid w:val="00077E31"/>
    <w:rsid w:val="00082A59"/>
    <w:rsid w:val="00082F9F"/>
    <w:rsid w:val="00085219"/>
    <w:rsid w:val="00086007"/>
    <w:rsid w:val="00092D22"/>
    <w:rsid w:val="00093A0E"/>
    <w:rsid w:val="000A1996"/>
    <w:rsid w:val="000A2671"/>
    <w:rsid w:val="000A30FD"/>
    <w:rsid w:val="000A4804"/>
    <w:rsid w:val="000A5AC6"/>
    <w:rsid w:val="000A5D26"/>
    <w:rsid w:val="000A688D"/>
    <w:rsid w:val="000B14B2"/>
    <w:rsid w:val="000B16DF"/>
    <w:rsid w:val="000B1D4B"/>
    <w:rsid w:val="000B20E3"/>
    <w:rsid w:val="000B6E1F"/>
    <w:rsid w:val="000B7896"/>
    <w:rsid w:val="000C59F4"/>
    <w:rsid w:val="000C7D59"/>
    <w:rsid w:val="000D0509"/>
    <w:rsid w:val="000D4293"/>
    <w:rsid w:val="000D4C3D"/>
    <w:rsid w:val="000D4E82"/>
    <w:rsid w:val="000D517F"/>
    <w:rsid w:val="000D672A"/>
    <w:rsid w:val="000E08D0"/>
    <w:rsid w:val="000E2BE3"/>
    <w:rsid w:val="000E3022"/>
    <w:rsid w:val="000E3130"/>
    <w:rsid w:val="000E3F84"/>
    <w:rsid w:val="000E49F3"/>
    <w:rsid w:val="000E6BFE"/>
    <w:rsid w:val="000E7140"/>
    <w:rsid w:val="000F3FE2"/>
    <w:rsid w:val="000F5675"/>
    <w:rsid w:val="000F5B83"/>
    <w:rsid w:val="000F7749"/>
    <w:rsid w:val="000F7820"/>
    <w:rsid w:val="000F7C94"/>
    <w:rsid w:val="001001FF"/>
    <w:rsid w:val="00106F01"/>
    <w:rsid w:val="00110760"/>
    <w:rsid w:val="00111B6C"/>
    <w:rsid w:val="00112FF9"/>
    <w:rsid w:val="00116226"/>
    <w:rsid w:val="001167DC"/>
    <w:rsid w:val="00116847"/>
    <w:rsid w:val="00120619"/>
    <w:rsid w:val="00132279"/>
    <w:rsid w:val="00132826"/>
    <w:rsid w:val="001330CB"/>
    <w:rsid w:val="00134663"/>
    <w:rsid w:val="00136618"/>
    <w:rsid w:val="00137C5F"/>
    <w:rsid w:val="001421DD"/>
    <w:rsid w:val="00144653"/>
    <w:rsid w:val="00151422"/>
    <w:rsid w:val="00151AF6"/>
    <w:rsid w:val="00151F7B"/>
    <w:rsid w:val="00153BF0"/>
    <w:rsid w:val="00155499"/>
    <w:rsid w:val="0015551C"/>
    <w:rsid w:val="00155651"/>
    <w:rsid w:val="0016001E"/>
    <w:rsid w:val="00160297"/>
    <w:rsid w:val="00160AB4"/>
    <w:rsid w:val="00161687"/>
    <w:rsid w:val="00162698"/>
    <w:rsid w:val="00162B92"/>
    <w:rsid w:val="001658C9"/>
    <w:rsid w:val="001662AB"/>
    <w:rsid w:val="00166BFE"/>
    <w:rsid w:val="00167BA0"/>
    <w:rsid w:val="0017005D"/>
    <w:rsid w:val="00170E4C"/>
    <w:rsid w:val="0017466C"/>
    <w:rsid w:val="00174789"/>
    <w:rsid w:val="001779EE"/>
    <w:rsid w:val="00186435"/>
    <w:rsid w:val="00192D09"/>
    <w:rsid w:val="00197CF1"/>
    <w:rsid w:val="001A2949"/>
    <w:rsid w:val="001A2B0F"/>
    <w:rsid w:val="001A3214"/>
    <w:rsid w:val="001A35FA"/>
    <w:rsid w:val="001A4F1C"/>
    <w:rsid w:val="001A619A"/>
    <w:rsid w:val="001A6CD4"/>
    <w:rsid w:val="001A7C8F"/>
    <w:rsid w:val="001B458F"/>
    <w:rsid w:val="001B57BC"/>
    <w:rsid w:val="001B58CB"/>
    <w:rsid w:val="001B72DA"/>
    <w:rsid w:val="001C60EA"/>
    <w:rsid w:val="001D49A2"/>
    <w:rsid w:val="001D5BF7"/>
    <w:rsid w:val="001D6028"/>
    <w:rsid w:val="001E01FE"/>
    <w:rsid w:val="001E2D56"/>
    <w:rsid w:val="001E3076"/>
    <w:rsid w:val="001E50EC"/>
    <w:rsid w:val="001E5257"/>
    <w:rsid w:val="001E67F8"/>
    <w:rsid w:val="001E6DA8"/>
    <w:rsid w:val="001F007F"/>
    <w:rsid w:val="001F139D"/>
    <w:rsid w:val="001F1982"/>
    <w:rsid w:val="001F4850"/>
    <w:rsid w:val="00201B56"/>
    <w:rsid w:val="002058CE"/>
    <w:rsid w:val="0021124E"/>
    <w:rsid w:val="002136F0"/>
    <w:rsid w:val="00213E74"/>
    <w:rsid w:val="00214FFB"/>
    <w:rsid w:val="00216F60"/>
    <w:rsid w:val="00217C67"/>
    <w:rsid w:val="002217B7"/>
    <w:rsid w:val="00222B27"/>
    <w:rsid w:val="002235AA"/>
    <w:rsid w:val="00223BB9"/>
    <w:rsid w:val="0022440C"/>
    <w:rsid w:val="00224556"/>
    <w:rsid w:val="00224DAE"/>
    <w:rsid w:val="00226DA2"/>
    <w:rsid w:val="00226E81"/>
    <w:rsid w:val="002270CC"/>
    <w:rsid w:val="00227612"/>
    <w:rsid w:val="00230AF0"/>
    <w:rsid w:val="00232B6F"/>
    <w:rsid w:val="002343C0"/>
    <w:rsid w:val="00235ADB"/>
    <w:rsid w:val="00235F21"/>
    <w:rsid w:val="0023658F"/>
    <w:rsid w:val="00237B2B"/>
    <w:rsid w:val="00240EAA"/>
    <w:rsid w:val="00242C44"/>
    <w:rsid w:val="0024549D"/>
    <w:rsid w:val="002516AF"/>
    <w:rsid w:val="00251779"/>
    <w:rsid w:val="002551EF"/>
    <w:rsid w:val="00256412"/>
    <w:rsid w:val="00256530"/>
    <w:rsid w:val="0025665B"/>
    <w:rsid w:val="0025767B"/>
    <w:rsid w:val="00257809"/>
    <w:rsid w:val="00257EC3"/>
    <w:rsid w:val="002610DB"/>
    <w:rsid w:val="0026166B"/>
    <w:rsid w:val="00261BBB"/>
    <w:rsid w:val="00265560"/>
    <w:rsid w:val="0026599C"/>
    <w:rsid w:val="002677F6"/>
    <w:rsid w:val="00270002"/>
    <w:rsid w:val="00271138"/>
    <w:rsid w:val="0027225C"/>
    <w:rsid w:val="00272DA1"/>
    <w:rsid w:val="0027344B"/>
    <w:rsid w:val="00275195"/>
    <w:rsid w:val="00277C96"/>
    <w:rsid w:val="0028039A"/>
    <w:rsid w:val="002803C7"/>
    <w:rsid w:val="00281A3A"/>
    <w:rsid w:val="0028284D"/>
    <w:rsid w:val="00287651"/>
    <w:rsid w:val="002955CD"/>
    <w:rsid w:val="002955D1"/>
    <w:rsid w:val="002963A4"/>
    <w:rsid w:val="00297B9B"/>
    <w:rsid w:val="002A0A3F"/>
    <w:rsid w:val="002A357F"/>
    <w:rsid w:val="002A4E67"/>
    <w:rsid w:val="002A7223"/>
    <w:rsid w:val="002B0543"/>
    <w:rsid w:val="002B3377"/>
    <w:rsid w:val="002B5EF3"/>
    <w:rsid w:val="002B68FD"/>
    <w:rsid w:val="002B6A24"/>
    <w:rsid w:val="002B6EBC"/>
    <w:rsid w:val="002B7158"/>
    <w:rsid w:val="002C0D48"/>
    <w:rsid w:val="002C1F04"/>
    <w:rsid w:val="002C2117"/>
    <w:rsid w:val="002C2A89"/>
    <w:rsid w:val="002C51C4"/>
    <w:rsid w:val="002C5E80"/>
    <w:rsid w:val="002C7734"/>
    <w:rsid w:val="002C780E"/>
    <w:rsid w:val="002D0A91"/>
    <w:rsid w:val="002D1AD9"/>
    <w:rsid w:val="002D6765"/>
    <w:rsid w:val="002D7363"/>
    <w:rsid w:val="002E44C7"/>
    <w:rsid w:val="002E4DFF"/>
    <w:rsid w:val="002E6944"/>
    <w:rsid w:val="002F0532"/>
    <w:rsid w:val="002F10F9"/>
    <w:rsid w:val="002F279F"/>
    <w:rsid w:val="002F35F2"/>
    <w:rsid w:val="002F450A"/>
    <w:rsid w:val="002F4ECD"/>
    <w:rsid w:val="00301FB5"/>
    <w:rsid w:val="003035FD"/>
    <w:rsid w:val="003037B2"/>
    <w:rsid w:val="003061E0"/>
    <w:rsid w:val="00306E88"/>
    <w:rsid w:val="00307B63"/>
    <w:rsid w:val="00307F70"/>
    <w:rsid w:val="00310E5A"/>
    <w:rsid w:val="00313941"/>
    <w:rsid w:val="0031760A"/>
    <w:rsid w:val="00321A81"/>
    <w:rsid w:val="00322CC3"/>
    <w:rsid w:val="00323BBA"/>
    <w:rsid w:val="00324254"/>
    <w:rsid w:val="003249EF"/>
    <w:rsid w:val="00324D20"/>
    <w:rsid w:val="00331E29"/>
    <w:rsid w:val="00332EC2"/>
    <w:rsid w:val="003335BA"/>
    <w:rsid w:val="00333B66"/>
    <w:rsid w:val="00334A51"/>
    <w:rsid w:val="00340710"/>
    <w:rsid w:val="003416E8"/>
    <w:rsid w:val="0034370D"/>
    <w:rsid w:val="003440C4"/>
    <w:rsid w:val="0034421D"/>
    <w:rsid w:val="003447CA"/>
    <w:rsid w:val="003469C9"/>
    <w:rsid w:val="00347363"/>
    <w:rsid w:val="00350BE0"/>
    <w:rsid w:val="00351223"/>
    <w:rsid w:val="00354197"/>
    <w:rsid w:val="003551C3"/>
    <w:rsid w:val="00356AF7"/>
    <w:rsid w:val="00356FF3"/>
    <w:rsid w:val="00357630"/>
    <w:rsid w:val="00365248"/>
    <w:rsid w:val="0036642B"/>
    <w:rsid w:val="00373A43"/>
    <w:rsid w:val="00374505"/>
    <w:rsid w:val="0037521C"/>
    <w:rsid w:val="00376A30"/>
    <w:rsid w:val="00380555"/>
    <w:rsid w:val="003805E6"/>
    <w:rsid w:val="0038074D"/>
    <w:rsid w:val="00382419"/>
    <w:rsid w:val="003836C4"/>
    <w:rsid w:val="0038762A"/>
    <w:rsid w:val="00390EC2"/>
    <w:rsid w:val="00391014"/>
    <w:rsid w:val="00391323"/>
    <w:rsid w:val="0039577A"/>
    <w:rsid w:val="003961CF"/>
    <w:rsid w:val="00396B15"/>
    <w:rsid w:val="00397BE2"/>
    <w:rsid w:val="003A081E"/>
    <w:rsid w:val="003A2CE6"/>
    <w:rsid w:val="003A3ACC"/>
    <w:rsid w:val="003A46EE"/>
    <w:rsid w:val="003A6719"/>
    <w:rsid w:val="003A69C8"/>
    <w:rsid w:val="003A6F65"/>
    <w:rsid w:val="003B0929"/>
    <w:rsid w:val="003B13D8"/>
    <w:rsid w:val="003B1967"/>
    <w:rsid w:val="003B7400"/>
    <w:rsid w:val="003C109B"/>
    <w:rsid w:val="003C1AC7"/>
    <w:rsid w:val="003C61E4"/>
    <w:rsid w:val="003C6313"/>
    <w:rsid w:val="003C6798"/>
    <w:rsid w:val="003C67F3"/>
    <w:rsid w:val="003C7C7F"/>
    <w:rsid w:val="003D08F5"/>
    <w:rsid w:val="003D3444"/>
    <w:rsid w:val="003D3534"/>
    <w:rsid w:val="003D4738"/>
    <w:rsid w:val="003E1B0E"/>
    <w:rsid w:val="003E347C"/>
    <w:rsid w:val="003E64E0"/>
    <w:rsid w:val="003E6741"/>
    <w:rsid w:val="003E7193"/>
    <w:rsid w:val="003F0A37"/>
    <w:rsid w:val="003F37C9"/>
    <w:rsid w:val="003F5043"/>
    <w:rsid w:val="003F6FDD"/>
    <w:rsid w:val="003F79C6"/>
    <w:rsid w:val="00401D24"/>
    <w:rsid w:val="004044F7"/>
    <w:rsid w:val="00406433"/>
    <w:rsid w:val="00407208"/>
    <w:rsid w:val="00407FFB"/>
    <w:rsid w:val="00410D3E"/>
    <w:rsid w:val="00412AFD"/>
    <w:rsid w:val="00415A13"/>
    <w:rsid w:val="0042116A"/>
    <w:rsid w:val="00421469"/>
    <w:rsid w:val="00421E76"/>
    <w:rsid w:val="00425CC2"/>
    <w:rsid w:val="004262A9"/>
    <w:rsid w:val="004263FE"/>
    <w:rsid w:val="004269FD"/>
    <w:rsid w:val="00426E52"/>
    <w:rsid w:val="00430DA1"/>
    <w:rsid w:val="00430EFE"/>
    <w:rsid w:val="004329AC"/>
    <w:rsid w:val="004343A4"/>
    <w:rsid w:val="00434979"/>
    <w:rsid w:val="00434D78"/>
    <w:rsid w:val="004362DA"/>
    <w:rsid w:val="00442E9B"/>
    <w:rsid w:val="00445C8F"/>
    <w:rsid w:val="004471D2"/>
    <w:rsid w:val="004503F3"/>
    <w:rsid w:val="00450693"/>
    <w:rsid w:val="004515C9"/>
    <w:rsid w:val="00451D0B"/>
    <w:rsid w:val="00452347"/>
    <w:rsid w:val="00452BD4"/>
    <w:rsid w:val="00453FBD"/>
    <w:rsid w:val="00455D89"/>
    <w:rsid w:val="004575E3"/>
    <w:rsid w:val="004603B4"/>
    <w:rsid w:val="00461A7A"/>
    <w:rsid w:val="004652A1"/>
    <w:rsid w:val="00465B2E"/>
    <w:rsid w:val="0046694F"/>
    <w:rsid w:val="00473A1E"/>
    <w:rsid w:val="004771D2"/>
    <w:rsid w:val="00483858"/>
    <w:rsid w:val="004840E6"/>
    <w:rsid w:val="00485B97"/>
    <w:rsid w:val="00485DF6"/>
    <w:rsid w:val="00486800"/>
    <w:rsid w:val="0048681A"/>
    <w:rsid w:val="00493125"/>
    <w:rsid w:val="00495929"/>
    <w:rsid w:val="004A0423"/>
    <w:rsid w:val="004A3E8A"/>
    <w:rsid w:val="004A5435"/>
    <w:rsid w:val="004B07B8"/>
    <w:rsid w:val="004B0A95"/>
    <w:rsid w:val="004B14C2"/>
    <w:rsid w:val="004B1F2A"/>
    <w:rsid w:val="004B2DF5"/>
    <w:rsid w:val="004B32B9"/>
    <w:rsid w:val="004B3586"/>
    <w:rsid w:val="004C2A49"/>
    <w:rsid w:val="004C3127"/>
    <w:rsid w:val="004C3BB0"/>
    <w:rsid w:val="004C3DA5"/>
    <w:rsid w:val="004C5045"/>
    <w:rsid w:val="004C73FF"/>
    <w:rsid w:val="004D00B4"/>
    <w:rsid w:val="004D15CD"/>
    <w:rsid w:val="004D221A"/>
    <w:rsid w:val="004E008E"/>
    <w:rsid w:val="004E1CC6"/>
    <w:rsid w:val="004E31D7"/>
    <w:rsid w:val="004E3A75"/>
    <w:rsid w:val="004E648D"/>
    <w:rsid w:val="004F084D"/>
    <w:rsid w:val="004F2405"/>
    <w:rsid w:val="004F2E67"/>
    <w:rsid w:val="004F3FC2"/>
    <w:rsid w:val="004F46F2"/>
    <w:rsid w:val="004F5067"/>
    <w:rsid w:val="004F5516"/>
    <w:rsid w:val="004F5C71"/>
    <w:rsid w:val="004F621E"/>
    <w:rsid w:val="004F6CA7"/>
    <w:rsid w:val="004F7E5D"/>
    <w:rsid w:val="005035C5"/>
    <w:rsid w:val="0050580A"/>
    <w:rsid w:val="0050653F"/>
    <w:rsid w:val="00506BF2"/>
    <w:rsid w:val="00510931"/>
    <w:rsid w:val="005115F2"/>
    <w:rsid w:val="00511C53"/>
    <w:rsid w:val="005128F3"/>
    <w:rsid w:val="00512F11"/>
    <w:rsid w:val="00514361"/>
    <w:rsid w:val="00515C25"/>
    <w:rsid w:val="0051659B"/>
    <w:rsid w:val="00517275"/>
    <w:rsid w:val="005175D4"/>
    <w:rsid w:val="00520A63"/>
    <w:rsid w:val="00522EE8"/>
    <w:rsid w:val="005262F3"/>
    <w:rsid w:val="0052665C"/>
    <w:rsid w:val="00526E57"/>
    <w:rsid w:val="005274B8"/>
    <w:rsid w:val="00527F3D"/>
    <w:rsid w:val="00530530"/>
    <w:rsid w:val="0053616B"/>
    <w:rsid w:val="005366B2"/>
    <w:rsid w:val="00536AF3"/>
    <w:rsid w:val="00541AF5"/>
    <w:rsid w:val="00543C3A"/>
    <w:rsid w:val="00544677"/>
    <w:rsid w:val="005478C0"/>
    <w:rsid w:val="00550E89"/>
    <w:rsid w:val="00551F74"/>
    <w:rsid w:val="005534E2"/>
    <w:rsid w:val="005554D7"/>
    <w:rsid w:val="00555A8E"/>
    <w:rsid w:val="00556402"/>
    <w:rsid w:val="0056185E"/>
    <w:rsid w:val="00562440"/>
    <w:rsid w:val="00563FB2"/>
    <w:rsid w:val="00564738"/>
    <w:rsid w:val="00564F0F"/>
    <w:rsid w:val="00565167"/>
    <w:rsid w:val="00567682"/>
    <w:rsid w:val="00570037"/>
    <w:rsid w:val="005704C3"/>
    <w:rsid w:val="00570FEB"/>
    <w:rsid w:val="005740CA"/>
    <w:rsid w:val="00576745"/>
    <w:rsid w:val="00580D98"/>
    <w:rsid w:val="0058206D"/>
    <w:rsid w:val="005825FC"/>
    <w:rsid w:val="0058266A"/>
    <w:rsid w:val="00584A75"/>
    <w:rsid w:val="0058621E"/>
    <w:rsid w:val="0058673B"/>
    <w:rsid w:val="00586771"/>
    <w:rsid w:val="00595195"/>
    <w:rsid w:val="00596BB5"/>
    <w:rsid w:val="0059770D"/>
    <w:rsid w:val="005A4C35"/>
    <w:rsid w:val="005A73BB"/>
    <w:rsid w:val="005A75F7"/>
    <w:rsid w:val="005B043B"/>
    <w:rsid w:val="005B110D"/>
    <w:rsid w:val="005B25C8"/>
    <w:rsid w:val="005B3AAB"/>
    <w:rsid w:val="005B3D20"/>
    <w:rsid w:val="005B655D"/>
    <w:rsid w:val="005B70AF"/>
    <w:rsid w:val="005C17AD"/>
    <w:rsid w:val="005C3EE4"/>
    <w:rsid w:val="005C439D"/>
    <w:rsid w:val="005C4E2B"/>
    <w:rsid w:val="005C51DC"/>
    <w:rsid w:val="005C60F2"/>
    <w:rsid w:val="005C660E"/>
    <w:rsid w:val="005C7E67"/>
    <w:rsid w:val="005D3CAE"/>
    <w:rsid w:val="005D4DFE"/>
    <w:rsid w:val="005D523A"/>
    <w:rsid w:val="005D5384"/>
    <w:rsid w:val="005D711E"/>
    <w:rsid w:val="005D7FC7"/>
    <w:rsid w:val="005E0817"/>
    <w:rsid w:val="005E6E3C"/>
    <w:rsid w:val="005F23EE"/>
    <w:rsid w:val="005F3DF3"/>
    <w:rsid w:val="005F456F"/>
    <w:rsid w:val="005F6223"/>
    <w:rsid w:val="00600720"/>
    <w:rsid w:val="00600F23"/>
    <w:rsid w:val="0060359A"/>
    <w:rsid w:val="0060574E"/>
    <w:rsid w:val="00606717"/>
    <w:rsid w:val="00607898"/>
    <w:rsid w:val="00611186"/>
    <w:rsid w:val="0061124F"/>
    <w:rsid w:val="00615DB7"/>
    <w:rsid w:val="00617CD2"/>
    <w:rsid w:val="0062043A"/>
    <w:rsid w:val="00620F1A"/>
    <w:rsid w:val="006241A5"/>
    <w:rsid w:val="00627130"/>
    <w:rsid w:val="006310E2"/>
    <w:rsid w:val="0063161B"/>
    <w:rsid w:val="00631DD2"/>
    <w:rsid w:val="00632356"/>
    <w:rsid w:val="0063309C"/>
    <w:rsid w:val="00634560"/>
    <w:rsid w:val="00635FFE"/>
    <w:rsid w:val="00636986"/>
    <w:rsid w:val="00640CB0"/>
    <w:rsid w:val="00640DB8"/>
    <w:rsid w:val="00641432"/>
    <w:rsid w:val="006415A4"/>
    <w:rsid w:val="00642FB1"/>
    <w:rsid w:val="0064421D"/>
    <w:rsid w:val="0064570A"/>
    <w:rsid w:val="00645E5D"/>
    <w:rsid w:val="006462F4"/>
    <w:rsid w:val="006477F7"/>
    <w:rsid w:val="00650438"/>
    <w:rsid w:val="006538AB"/>
    <w:rsid w:val="0065748E"/>
    <w:rsid w:val="006617B2"/>
    <w:rsid w:val="00661F40"/>
    <w:rsid w:val="006625CF"/>
    <w:rsid w:val="00662BCF"/>
    <w:rsid w:val="0066403D"/>
    <w:rsid w:val="00665456"/>
    <w:rsid w:val="00666E40"/>
    <w:rsid w:val="00670DB8"/>
    <w:rsid w:val="006718C9"/>
    <w:rsid w:val="00671CFC"/>
    <w:rsid w:val="00674A05"/>
    <w:rsid w:val="0067511E"/>
    <w:rsid w:val="0067530F"/>
    <w:rsid w:val="00675659"/>
    <w:rsid w:val="0067605B"/>
    <w:rsid w:val="00677ABC"/>
    <w:rsid w:val="0068509A"/>
    <w:rsid w:val="00685AE0"/>
    <w:rsid w:val="00692C57"/>
    <w:rsid w:val="006949E9"/>
    <w:rsid w:val="00696B12"/>
    <w:rsid w:val="00696E66"/>
    <w:rsid w:val="006A5F34"/>
    <w:rsid w:val="006A6651"/>
    <w:rsid w:val="006B0D8D"/>
    <w:rsid w:val="006B1C91"/>
    <w:rsid w:val="006B20EC"/>
    <w:rsid w:val="006B21CC"/>
    <w:rsid w:val="006B47CF"/>
    <w:rsid w:val="006B4D48"/>
    <w:rsid w:val="006B53F8"/>
    <w:rsid w:val="006B6068"/>
    <w:rsid w:val="006B6082"/>
    <w:rsid w:val="006B775E"/>
    <w:rsid w:val="006C0A87"/>
    <w:rsid w:val="006C22EF"/>
    <w:rsid w:val="006C3341"/>
    <w:rsid w:val="006C454E"/>
    <w:rsid w:val="006C4E26"/>
    <w:rsid w:val="006C4FE4"/>
    <w:rsid w:val="006C5469"/>
    <w:rsid w:val="006C6B9C"/>
    <w:rsid w:val="006D01D6"/>
    <w:rsid w:val="006D079C"/>
    <w:rsid w:val="006D0C39"/>
    <w:rsid w:val="006D2E4B"/>
    <w:rsid w:val="006D46CE"/>
    <w:rsid w:val="006D7023"/>
    <w:rsid w:val="006E055F"/>
    <w:rsid w:val="006E0E35"/>
    <w:rsid w:val="006E202D"/>
    <w:rsid w:val="006E34EC"/>
    <w:rsid w:val="006E3698"/>
    <w:rsid w:val="006E37A5"/>
    <w:rsid w:val="006E3A0A"/>
    <w:rsid w:val="006E6769"/>
    <w:rsid w:val="006F4601"/>
    <w:rsid w:val="006F5161"/>
    <w:rsid w:val="006F543B"/>
    <w:rsid w:val="00700377"/>
    <w:rsid w:val="00700C08"/>
    <w:rsid w:val="00702E0E"/>
    <w:rsid w:val="00703003"/>
    <w:rsid w:val="007031CF"/>
    <w:rsid w:val="00703D0C"/>
    <w:rsid w:val="00706B14"/>
    <w:rsid w:val="007071B6"/>
    <w:rsid w:val="00707FC4"/>
    <w:rsid w:val="00711437"/>
    <w:rsid w:val="007142BF"/>
    <w:rsid w:val="0071432C"/>
    <w:rsid w:val="007163AB"/>
    <w:rsid w:val="0071697D"/>
    <w:rsid w:val="00716B7A"/>
    <w:rsid w:val="007211CC"/>
    <w:rsid w:val="00724C0D"/>
    <w:rsid w:val="0072771C"/>
    <w:rsid w:val="007302A8"/>
    <w:rsid w:val="007316B5"/>
    <w:rsid w:val="00733714"/>
    <w:rsid w:val="007418E4"/>
    <w:rsid w:val="0074302B"/>
    <w:rsid w:val="00746A78"/>
    <w:rsid w:val="007511CB"/>
    <w:rsid w:val="00752A6B"/>
    <w:rsid w:val="00753003"/>
    <w:rsid w:val="00754B07"/>
    <w:rsid w:val="0076179F"/>
    <w:rsid w:val="00764945"/>
    <w:rsid w:val="007658B2"/>
    <w:rsid w:val="00770604"/>
    <w:rsid w:val="0077171D"/>
    <w:rsid w:val="007736E1"/>
    <w:rsid w:val="007744DA"/>
    <w:rsid w:val="00775256"/>
    <w:rsid w:val="0077767B"/>
    <w:rsid w:val="007777CD"/>
    <w:rsid w:val="007805E0"/>
    <w:rsid w:val="00781445"/>
    <w:rsid w:val="00781FAC"/>
    <w:rsid w:val="0078317F"/>
    <w:rsid w:val="0078402D"/>
    <w:rsid w:val="007852EB"/>
    <w:rsid w:val="00787156"/>
    <w:rsid w:val="007909AA"/>
    <w:rsid w:val="00795659"/>
    <w:rsid w:val="007A2707"/>
    <w:rsid w:val="007A6FEB"/>
    <w:rsid w:val="007B028B"/>
    <w:rsid w:val="007B2F15"/>
    <w:rsid w:val="007B3B38"/>
    <w:rsid w:val="007B5BAD"/>
    <w:rsid w:val="007B7D7D"/>
    <w:rsid w:val="007C20E1"/>
    <w:rsid w:val="007C2435"/>
    <w:rsid w:val="007C510E"/>
    <w:rsid w:val="007C5BD3"/>
    <w:rsid w:val="007C6D9E"/>
    <w:rsid w:val="007D156B"/>
    <w:rsid w:val="007D15AD"/>
    <w:rsid w:val="007D17BE"/>
    <w:rsid w:val="007D326B"/>
    <w:rsid w:val="007D582C"/>
    <w:rsid w:val="007D662E"/>
    <w:rsid w:val="007E0927"/>
    <w:rsid w:val="007E13CD"/>
    <w:rsid w:val="007E1ECB"/>
    <w:rsid w:val="007E7A7F"/>
    <w:rsid w:val="007F0359"/>
    <w:rsid w:val="007F06CA"/>
    <w:rsid w:val="007F0BBF"/>
    <w:rsid w:val="007F1CA1"/>
    <w:rsid w:val="007F349A"/>
    <w:rsid w:val="007F43D0"/>
    <w:rsid w:val="007F463A"/>
    <w:rsid w:val="007F56BC"/>
    <w:rsid w:val="007F7861"/>
    <w:rsid w:val="008000DD"/>
    <w:rsid w:val="008030DA"/>
    <w:rsid w:val="00804362"/>
    <w:rsid w:val="008065D2"/>
    <w:rsid w:val="00806A94"/>
    <w:rsid w:val="00807624"/>
    <w:rsid w:val="00807D7C"/>
    <w:rsid w:val="008134EA"/>
    <w:rsid w:val="00816D3C"/>
    <w:rsid w:val="00822DF8"/>
    <w:rsid w:val="0082326E"/>
    <w:rsid w:val="008243AE"/>
    <w:rsid w:val="00824B55"/>
    <w:rsid w:val="00824E53"/>
    <w:rsid w:val="00826AFD"/>
    <w:rsid w:val="00826C5F"/>
    <w:rsid w:val="00834C45"/>
    <w:rsid w:val="008357D0"/>
    <w:rsid w:val="00835C30"/>
    <w:rsid w:val="00836770"/>
    <w:rsid w:val="00837C85"/>
    <w:rsid w:val="00841872"/>
    <w:rsid w:val="00841B34"/>
    <w:rsid w:val="00842E25"/>
    <w:rsid w:val="00843343"/>
    <w:rsid w:val="008438E1"/>
    <w:rsid w:val="008447E1"/>
    <w:rsid w:val="00844C3F"/>
    <w:rsid w:val="00845CA1"/>
    <w:rsid w:val="00850192"/>
    <w:rsid w:val="00850C5B"/>
    <w:rsid w:val="008519D5"/>
    <w:rsid w:val="00854876"/>
    <w:rsid w:val="00857806"/>
    <w:rsid w:val="00860650"/>
    <w:rsid w:val="00862416"/>
    <w:rsid w:val="00863D03"/>
    <w:rsid w:val="00864717"/>
    <w:rsid w:val="00873B0B"/>
    <w:rsid w:val="00873C03"/>
    <w:rsid w:val="00874646"/>
    <w:rsid w:val="00882944"/>
    <w:rsid w:val="00883363"/>
    <w:rsid w:val="00884766"/>
    <w:rsid w:val="008850CF"/>
    <w:rsid w:val="0088568B"/>
    <w:rsid w:val="00890A03"/>
    <w:rsid w:val="00891EE9"/>
    <w:rsid w:val="008952FC"/>
    <w:rsid w:val="008A0EC1"/>
    <w:rsid w:val="008A31C1"/>
    <w:rsid w:val="008A3537"/>
    <w:rsid w:val="008A36C4"/>
    <w:rsid w:val="008A3906"/>
    <w:rsid w:val="008A3F42"/>
    <w:rsid w:val="008A4FB4"/>
    <w:rsid w:val="008A509F"/>
    <w:rsid w:val="008B02AF"/>
    <w:rsid w:val="008B04B5"/>
    <w:rsid w:val="008B5485"/>
    <w:rsid w:val="008B75A3"/>
    <w:rsid w:val="008B7F4E"/>
    <w:rsid w:val="008C579D"/>
    <w:rsid w:val="008C5D99"/>
    <w:rsid w:val="008D07F1"/>
    <w:rsid w:val="008D25CA"/>
    <w:rsid w:val="008D2832"/>
    <w:rsid w:val="008D457D"/>
    <w:rsid w:val="008D494B"/>
    <w:rsid w:val="008D54CA"/>
    <w:rsid w:val="008D781F"/>
    <w:rsid w:val="008E088F"/>
    <w:rsid w:val="008E2BB2"/>
    <w:rsid w:val="008E3D19"/>
    <w:rsid w:val="008E452E"/>
    <w:rsid w:val="008E4CC1"/>
    <w:rsid w:val="008E6615"/>
    <w:rsid w:val="008E6F1A"/>
    <w:rsid w:val="008E75F0"/>
    <w:rsid w:val="008F19A2"/>
    <w:rsid w:val="008F2185"/>
    <w:rsid w:val="008F429A"/>
    <w:rsid w:val="008F47B3"/>
    <w:rsid w:val="008F79F1"/>
    <w:rsid w:val="008F7A3F"/>
    <w:rsid w:val="008F7DA4"/>
    <w:rsid w:val="009012A4"/>
    <w:rsid w:val="0090176D"/>
    <w:rsid w:val="00902B62"/>
    <w:rsid w:val="00902DCC"/>
    <w:rsid w:val="00904437"/>
    <w:rsid w:val="00905D1A"/>
    <w:rsid w:val="00912D27"/>
    <w:rsid w:val="009131FF"/>
    <w:rsid w:val="009157E1"/>
    <w:rsid w:val="00915A1A"/>
    <w:rsid w:val="0091794E"/>
    <w:rsid w:val="00920E50"/>
    <w:rsid w:val="00922447"/>
    <w:rsid w:val="0092250D"/>
    <w:rsid w:val="009242ED"/>
    <w:rsid w:val="0092462B"/>
    <w:rsid w:val="00924843"/>
    <w:rsid w:val="0092508B"/>
    <w:rsid w:val="00925E69"/>
    <w:rsid w:val="00927C8B"/>
    <w:rsid w:val="00930854"/>
    <w:rsid w:val="00931BF4"/>
    <w:rsid w:val="009330A1"/>
    <w:rsid w:val="00933B76"/>
    <w:rsid w:val="00937C59"/>
    <w:rsid w:val="009402C6"/>
    <w:rsid w:val="00943209"/>
    <w:rsid w:val="0094552B"/>
    <w:rsid w:val="00945599"/>
    <w:rsid w:val="009462AF"/>
    <w:rsid w:val="009464A3"/>
    <w:rsid w:val="00947896"/>
    <w:rsid w:val="00950315"/>
    <w:rsid w:val="00951123"/>
    <w:rsid w:val="00951D6E"/>
    <w:rsid w:val="00953116"/>
    <w:rsid w:val="0095510A"/>
    <w:rsid w:val="009629C6"/>
    <w:rsid w:val="00963C00"/>
    <w:rsid w:val="00964CFF"/>
    <w:rsid w:val="00965447"/>
    <w:rsid w:val="00970337"/>
    <w:rsid w:val="0097356F"/>
    <w:rsid w:val="00975AF0"/>
    <w:rsid w:val="009764E6"/>
    <w:rsid w:val="00981086"/>
    <w:rsid w:val="0098512F"/>
    <w:rsid w:val="00985266"/>
    <w:rsid w:val="009858C2"/>
    <w:rsid w:val="00985E62"/>
    <w:rsid w:val="00987D36"/>
    <w:rsid w:val="0099733D"/>
    <w:rsid w:val="0099743C"/>
    <w:rsid w:val="009A19AB"/>
    <w:rsid w:val="009A3CCD"/>
    <w:rsid w:val="009A687D"/>
    <w:rsid w:val="009B0704"/>
    <w:rsid w:val="009B0C67"/>
    <w:rsid w:val="009C1EEE"/>
    <w:rsid w:val="009C2661"/>
    <w:rsid w:val="009C3293"/>
    <w:rsid w:val="009C49BB"/>
    <w:rsid w:val="009C4B75"/>
    <w:rsid w:val="009C5208"/>
    <w:rsid w:val="009C5BB5"/>
    <w:rsid w:val="009C728C"/>
    <w:rsid w:val="009D2ECE"/>
    <w:rsid w:val="009D3C5C"/>
    <w:rsid w:val="009E0688"/>
    <w:rsid w:val="009E2895"/>
    <w:rsid w:val="009E4BF8"/>
    <w:rsid w:val="009F0C70"/>
    <w:rsid w:val="009F1B80"/>
    <w:rsid w:val="009F2A10"/>
    <w:rsid w:val="009F5802"/>
    <w:rsid w:val="00A00621"/>
    <w:rsid w:val="00A03C3F"/>
    <w:rsid w:val="00A056F3"/>
    <w:rsid w:val="00A1084D"/>
    <w:rsid w:val="00A1414F"/>
    <w:rsid w:val="00A1524D"/>
    <w:rsid w:val="00A163D0"/>
    <w:rsid w:val="00A17C3A"/>
    <w:rsid w:val="00A17CF3"/>
    <w:rsid w:val="00A20D94"/>
    <w:rsid w:val="00A221D8"/>
    <w:rsid w:val="00A23598"/>
    <w:rsid w:val="00A24139"/>
    <w:rsid w:val="00A24570"/>
    <w:rsid w:val="00A26E27"/>
    <w:rsid w:val="00A31291"/>
    <w:rsid w:val="00A321F5"/>
    <w:rsid w:val="00A32840"/>
    <w:rsid w:val="00A364BC"/>
    <w:rsid w:val="00A3737D"/>
    <w:rsid w:val="00A37633"/>
    <w:rsid w:val="00A40F98"/>
    <w:rsid w:val="00A42B5D"/>
    <w:rsid w:val="00A43D3A"/>
    <w:rsid w:val="00A43D68"/>
    <w:rsid w:val="00A44DE4"/>
    <w:rsid w:val="00A46BEE"/>
    <w:rsid w:val="00A545A7"/>
    <w:rsid w:val="00A54D46"/>
    <w:rsid w:val="00A553E6"/>
    <w:rsid w:val="00A56CB9"/>
    <w:rsid w:val="00A609C1"/>
    <w:rsid w:val="00A61151"/>
    <w:rsid w:val="00A61B82"/>
    <w:rsid w:val="00A6523F"/>
    <w:rsid w:val="00A65E6A"/>
    <w:rsid w:val="00A70A25"/>
    <w:rsid w:val="00A711C6"/>
    <w:rsid w:val="00A71632"/>
    <w:rsid w:val="00A725C5"/>
    <w:rsid w:val="00A72DE8"/>
    <w:rsid w:val="00A72F6B"/>
    <w:rsid w:val="00A74057"/>
    <w:rsid w:val="00A76517"/>
    <w:rsid w:val="00A80AD7"/>
    <w:rsid w:val="00A8112B"/>
    <w:rsid w:val="00A81227"/>
    <w:rsid w:val="00A8354F"/>
    <w:rsid w:val="00A83EFC"/>
    <w:rsid w:val="00A83FF8"/>
    <w:rsid w:val="00A85668"/>
    <w:rsid w:val="00A85692"/>
    <w:rsid w:val="00A87E73"/>
    <w:rsid w:val="00A916AC"/>
    <w:rsid w:val="00A93900"/>
    <w:rsid w:val="00A94FBC"/>
    <w:rsid w:val="00A95A80"/>
    <w:rsid w:val="00A96091"/>
    <w:rsid w:val="00A9685F"/>
    <w:rsid w:val="00A9790D"/>
    <w:rsid w:val="00AA00AD"/>
    <w:rsid w:val="00AA0F77"/>
    <w:rsid w:val="00AA0FDC"/>
    <w:rsid w:val="00AA1B43"/>
    <w:rsid w:val="00AA4672"/>
    <w:rsid w:val="00AA5DFE"/>
    <w:rsid w:val="00AA65F0"/>
    <w:rsid w:val="00AB02B4"/>
    <w:rsid w:val="00AB047C"/>
    <w:rsid w:val="00AB110F"/>
    <w:rsid w:val="00AB4290"/>
    <w:rsid w:val="00AB7B15"/>
    <w:rsid w:val="00AC2650"/>
    <w:rsid w:val="00AC31C4"/>
    <w:rsid w:val="00AC4DBC"/>
    <w:rsid w:val="00AC5BCC"/>
    <w:rsid w:val="00AC5EF7"/>
    <w:rsid w:val="00AC6CB0"/>
    <w:rsid w:val="00AC7574"/>
    <w:rsid w:val="00AD08E3"/>
    <w:rsid w:val="00AD19C7"/>
    <w:rsid w:val="00AD4208"/>
    <w:rsid w:val="00AD4DCA"/>
    <w:rsid w:val="00AD6F8B"/>
    <w:rsid w:val="00AE02D2"/>
    <w:rsid w:val="00AE1652"/>
    <w:rsid w:val="00AE2AD0"/>
    <w:rsid w:val="00AE3279"/>
    <w:rsid w:val="00AE4758"/>
    <w:rsid w:val="00AF131A"/>
    <w:rsid w:val="00AF3851"/>
    <w:rsid w:val="00AF6BDF"/>
    <w:rsid w:val="00AF6EB0"/>
    <w:rsid w:val="00B00B65"/>
    <w:rsid w:val="00B00D52"/>
    <w:rsid w:val="00B0146E"/>
    <w:rsid w:val="00B0207A"/>
    <w:rsid w:val="00B03BAD"/>
    <w:rsid w:val="00B04F2B"/>
    <w:rsid w:val="00B0505E"/>
    <w:rsid w:val="00B05691"/>
    <w:rsid w:val="00B05AFF"/>
    <w:rsid w:val="00B05C5F"/>
    <w:rsid w:val="00B076B5"/>
    <w:rsid w:val="00B111D2"/>
    <w:rsid w:val="00B11AE2"/>
    <w:rsid w:val="00B134CD"/>
    <w:rsid w:val="00B13D79"/>
    <w:rsid w:val="00B13ED9"/>
    <w:rsid w:val="00B1477C"/>
    <w:rsid w:val="00B165A2"/>
    <w:rsid w:val="00B20CAB"/>
    <w:rsid w:val="00B21A1D"/>
    <w:rsid w:val="00B2228D"/>
    <w:rsid w:val="00B22854"/>
    <w:rsid w:val="00B23727"/>
    <w:rsid w:val="00B23CE5"/>
    <w:rsid w:val="00B302A4"/>
    <w:rsid w:val="00B3328F"/>
    <w:rsid w:val="00B42256"/>
    <w:rsid w:val="00B42741"/>
    <w:rsid w:val="00B44FA7"/>
    <w:rsid w:val="00B45B31"/>
    <w:rsid w:val="00B478A8"/>
    <w:rsid w:val="00B47EB4"/>
    <w:rsid w:val="00B50431"/>
    <w:rsid w:val="00B52F87"/>
    <w:rsid w:val="00B53CC9"/>
    <w:rsid w:val="00B542DF"/>
    <w:rsid w:val="00B54DF1"/>
    <w:rsid w:val="00B56EBD"/>
    <w:rsid w:val="00B62CF7"/>
    <w:rsid w:val="00B6658A"/>
    <w:rsid w:val="00B67364"/>
    <w:rsid w:val="00B678C5"/>
    <w:rsid w:val="00B712F1"/>
    <w:rsid w:val="00B7228D"/>
    <w:rsid w:val="00B726DD"/>
    <w:rsid w:val="00B72A37"/>
    <w:rsid w:val="00B75983"/>
    <w:rsid w:val="00B764D7"/>
    <w:rsid w:val="00B801D7"/>
    <w:rsid w:val="00B815DA"/>
    <w:rsid w:val="00B81BAD"/>
    <w:rsid w:val="00B83E50"/>
    <w:rsid w:val="00B85CAC"/>
    <w:rsid w:val="00B85D66"/>
    <w:rsid w:val="00B85E49"/>
    <w:rsid w:val="00B9546A"/>
    <w:rsid w:val="00B96C9E"/>
    <w:rsid w:val="00BA1482"/>
    <w:rsid w:val="00BA1BDA"/>
    <w:rsid w:val="00BA2680"/>
    <w:rsid w:val="00BA4708"/>
    <w:rsid w:val="00BA645F"/>
    <w:rsid w:val="00BA70D8"/>
    <w:rsid w:val="00BB242F"/>
    <w:rsid w:val="00BB5C19"/>
    <w:rsid w:val="00BB7AE6"/>
    <w:rsid w:val="00BC11F4"/>
    <w:rsid w:val="00BC2745"/>
    <w:rsid w:val="00BC2B5B"/>
    <w:rsid w:val="00BD332A"/>
    <w:rsid w:val="00BD36F1"/>
    <w:rsid w:val="00BD538D"/>
    <w:rsid w:val="00BD6507"/>
    <w:rsid w:val="00BD6E8B"/>
    <w:rsid w:val="00BE1199"/>
    <w:rsid w:val="00BE1662"/>
    <w:rsid w:val="00BE1BDA"/>
    <w:rsid w:val="00BE1D6D"/>
    <w:rsid w:val="00BE3300"/>
    <w:rsid w:val="00BE3802"/>
    <w:rsid w:val="00BE6AB8"/>
    <w:rsid w:val="00BF019D"/>
    <w:rsid w:val="00BF0AB8"/>
    <w:rsid w:val="00BF0EF5"/>
    <w:rsid w:val="00BF1761"/>
    <w:rsid w:val="00BF3229"/>
    <w:rsid w:val="00BF3AFE"/>
    <w:rsid w:val="00BF73AE"/>
    <w:rsid w:val="00BF79EE"/>
    <w:rsid w:val="00BF7FA3"/>
    <w:rsid w:val="00C00599"/>
    <w:rsid w:val="00C0107B"/>
    <w:rsid w:val="00C05296"/>
    <w:rsid w:val="00C0548E"/>
    <w:rsid w:val="00C054B1"/>
    <w:rsid w:val="00C05B23"/>
    <w:rsid w:val="00C05BC5"/>
    <w:rsid w:val="00C06D76"/>
    <w:rsid w:val="00C06DCA"/>
    <w:rsid w:val="00C075D4"/>
    <w:rsid w:val="00C10F8A"/>
    <w:rsid w:val="00C1200D"/>
    <w:rsid w:val="00C1209B"/>
    <w:rsid w:val="00C12AD8"/>
    <w:rsid w:val="00C14B96"/>
    <w:rsid w:val="00C15E18"/>
    <w:rsid w:val="00C21172"/>
    <w:rsid w:val="00C23842"/>
    <w:rsid w:val="00C24755"/>
    <w:rsid w:val="00C25AAE"/>
    <w:rsid w:val="00C26375"/>
    <w:rsid w:val="00C266F3"/>
    <w:rsid w:val="00C27B24"/>
    <w:rsid w:val="00C27BE0"/>
    <w:rsid w:val="00C32B1D"/>
    <w:rsid w:val="00C34F79"/>
    <w:rsid w:val="00C34FC7"/>
    <w:rsid w:val="00C3551B"/>
    <w:rsid w:val="00C41561"/>
    <w:rsid w:val="00C432AC"/>
    <w:rsid w:val="00C45290"/>
    <w:rsid w:val="00C471F5"/>
    <w:rsid w:val="00C51B83"/>
    <w:rsid w:val="00C51C8F"/>
    <w:rsid w:val="00C53986"/>
    <w:rsid w:val="00C53AEE"/>
    <w:rsid w:val="00C53CCF"/>
    <w:rsid w:val="00C544D6"/>
    <w:rsid w:val="00C54C30"/>
    <w:rsid w:val="00C55291"/>
    <w:rsid w:val="00C5769E"/>
    <w:rsid w:val="00C57A41"/>
    <w:rsid w:val="00C600A7"/>
    <w:rsid w:val="00C620E4"/>
    <w:rsid w:val="00C62257"/>
    <w:rsid w:val="00C62F06"/>
    <w:rsid w:val="00C6322E"/>
    <w:rsid w:val="00C63340"/>
    <w:rsid w:val="00C646DF"/>
    <w:rsid w:val="00C65E6F"/>
    <w:rsid w:val="00C72D3B"/>
    <w:rsid w:val="00C810DC"/>
    <w:rsid w:val="00C924BC"/>
    <w:rsid w:val="00C96ECC"/>
    <w:rsid w:val="00CA21ED"/>
    <w:rsid w:val="00CA23E5"/>
    <w:rsid w:val="00CA397D"/>
    <w:rsid w:val="00CA42D3"/>
    <w:rsid w:val="00CA4524"/>
    <w:rsid w:val="00CB346C"/>
    <w:rsid w:val="00CB446F"/>
    <w:rsid w:val="00CB5000"/>
    <w:rsid w:val="00CB6993"/>
    <w:rsid w:val="00CC27DE"/>
    <w:rsid w:val="00CC2C9C"/>
    <w:rsid w:val="00CC39A3"/>
    <w:rsid w:val="00CC4140"/>
    <w:rsid w:val="00CC6D9C"/>
    <w:rsid w:val="00CC71A2"/>
    <w:rsid w:val="00CC759A"/>
    <w:rsid w:val="00CD26E8"/>
    <w:rsid w:val="00CD33F1"/>
    <w:rsid w:val="00CD3B97"/>
    <w:rsid w:val="00CD6043"/>
    <w:rsid w:val="00CD66FF"/>
    <w:rsid w:val="00CE05D1"/>
    <w:rsid w:val="00CE0642"/>
    <w:rsid w:val="00CE16CE"/>
    <w:rsid w:val="00CE49DA"/>
    <w:rsid w:val="00CE5441"/>
    <w:rsid w:val="00CE60B8"/>
    <w:rsid w:val="00CE72CF"/>
    <w:rsid w:val="00CF1918"/>
    <w:rsid w:val="00CF30B8"/>
    <w:rsid w:val="00CF32DC"/>
    <w:rsid w:val="00CF47A9"/>
    <w:rsid w:val="00CF4EE4"/>
    <w:rsid w:val="00CF515B"/>
    <w:rsid w:val="00CF5769"/>
    <w:rsid w:val="00CF64EE"/>
    <w:rsid w:val="00CF76E7"/>
    <w:rsid w:val="00CF788D"/>
    <w:rsid w:val="00CF7A04"/>
    <w:rsid w:val="00D012BE"/>
    <w:rsid w:val="00D07059"/>
    <w:rsid w:val="00D2416F"/>
    <w:rsid w:val="00D24952"/>
    <w:rsid w:val="00D25170"/>
    <w:rsid w:val="00D27118"/>
    <w:rsid w:val="00D27B85"/>
    <w:rsid w:val="00D3020C"/>
    <w:rsid w:val="00D33AD5"/>
    <w:rsid w:val="00D35A41"/>
    <w:rsid w:val="00D3799B"/>
    <w:rsid w:val="00D40517"/>
    <w:rsid w:val="00D446E9"/>
    <w:rsid w:val="00D464B8"/>
    <w:rsid w:val="00D50F11"/>
    <w:rsid w:val="00D51DF4"/>
    <w:rsid w:val="00D52E32"/>
    <w:rsid w:val="00D530FD"/>
    <w:rsid w:val="00D560FA"/>
    <w:rsid w:val="00D56F65"/>
    <w:rsid w:val="00D57D92"/>
    <w:rsid w:val="00D6197F"/>
    <w:rsid w:val="00D6295C"/>
    <w:rsid w:val="00D62EDA"/>
    <w:rsid w:val="00D63662"/>
    <w:rsid w:val="00D66895"/>
    <w:rsid w:val="00D720DC"/>
    <w:rsid w:val="00D72BBC"/>
    <w:rsid w:val="00D737D6"/>
    <w:rsid w:val="00D7528F"/>
    <w:rsid w:val="00D80DFC"/>
    <w:rsid w:val="00D842C7"/>
    <w:rsid w:val="00D85B5E"/>
    <w:rsid w:val="00D869A3"/>
    <w:rsid w:val="00D91BE4"/>
    <w:rsid w:val="00D93BF5"/>
    <w:rsid w:val="00D946F5"/>
    <w:rsid w:val="00D94927"/>
    <w:rsid w:val="00D950DF"/>
    <w:rsid w:val="00D95FE5"/>
    <w:rsid w:val="00D975A6"/>
    <w:rsid w:val="00DA2560"/>
    <w:rsid w:val="00DA676B"/>
    <w:rsid w:val="00DB0081"/>
    <w:rsid w:val="00DB0A59"/>
    <w:rsid w:val="00DB16DE"/>
    <w:rsid w:val="00DB4375"/>
    <w:rsid w:val="00DB44D0"/>
    <w:rsid w:val="00DB4868"/>
    <w:rsid w:val="00DB5238"/>
    <w:rsid w:val="00DB6E93"/>
    <w:rsid w:val="00DC17DA"/>
    <w:rsid w:val="00DC249C"/>
    <w:rsid w:val="00DC2783"/>
    <w:rsid w:val="00DC2BC1"/>
    <w:rsid w:val="00DC471E"/>
    <w:rsid w:val="00DC629A"/>
    <w:rsid w:val="00DC6721"/>
    <w:rsid w:val="00DD0A4E"/>
    <w:rsid w:val="00DD4530"/>
    <w:rsid w:val="00DD5383"/>
    <w:rsid w:val="00DD7D6F"/>
    <w:rsid w:val="00DE4A56"/>
    <w:rsid w:val="00DE7371"/>
    <w:rsid w:val="00DE7704"/>
    <w:rsid w:val="00DF16EB"/>
    <w:rsid w:val="00DF29CD"/>
    <w:rsid w:val="00E01CA9"/>
    <w:rsid w:val="00E01E0B"/>
    <w:rsid w:val="00E02F15"/>
    <w:rsid w:val="00E04D32"/>
    <w:rsid w:val="00E11666"/>
    <w:rsid w:val="00E117FD"/>
    <w:rsid w:val="00E12CC9"/>
    <w:rsid w:val="00E150BF"/>
    <w:rsid w:val="00E15A14"/>
    <w:rsid w:val="00E165CA"/>
    <w:rsid w:val="00E17B81"/>
    <w:rsid w:val="00E20995"/>
    <w:rsid w:val="00E22FE3"/>
    <w:rsid w:val="00E2647A"/>
    <w:rsid w:val="00E27C9F"/>
    <w:rsid w:val="00E30341"/>
    <w:rsid w:val="00E31BE3"/>
    <w:rsid w:val="00E333A5"/>
    <w:rsid w:val="00E36DD6"/>
    <w:rsid w:val="00E423C2"/>
    <w:rsid w:val="00E4335B"/>
    <w:rsid w:val="00E45615"/>
    <w:rsid w:val="00E46160"/>
    <w:rsid w:val="00E517E1"/>
    <w:rsid w:val="00E51ADF"/>
    <w:rsid w:val="00E540A9"/>
    <w:rsid w:val="00E60EAF"/>
    <w:rsid w:val="00E610BA"/>
    <w:rsid w:val="00E65586"/>
    <w:rsid w:val="00E66C4C"/>
    <w:rsid w:val="00E702AE"/>
    <w:rsid w:val="00E7140F"/>
    <w:rsid w:val="00E71D8B"/>
    <w:rsid w:val="00E72134"/>
    <w:rsid w:val="00E72BA1"/>
    <w:rsid w:val="00E72F41"/>
    <w:rsid w:val="00E76306"/>
    <w:rsid w:val="00E771FA"/>
    <w:rsid w:val="00E81767"/>
    <w:rsid w:val="00E83B5B"/>
    <w:rsid w:val="00E83CC7"/>
    <w:rsid w:val="00E86A78"/>
    <w:rsid w:val="00E92861"/>
    <w:rsid w:val="00E93BFB"/>
    <w:rsid w:val="00E94A94"/>
    <w:rsid w:val="00E95658"/>
    <w:rsid w:val="00EA1D25"/>
    <w:rsid w:val="00EA2ADF"/>
    <w:rsid w:val="00EA5DBE"/>
    <w:rsid w:val="00EB0E97"/>
    <w:rsid w:val="00EB2F11"/>
    <w:rsid w:val="00EB3DF6"/>
    <w:rsid w:val="00EB4388"/>
    <w:rsid w:val="00EB7590"/>
    <w:rsid w:val="00EC0953"/>
    <w:rsid w:val="00EC1A9F"/>
    <w:rsid w:val="00EC2279"/>
    <w:rsid w:val="00EC25B0"/>
    <w:rsid w:val="00EC5A4D"/>
    <w:rsid w:val="00EC63B0"/>
    <w:rsid w:val="00EC67FE"/>
    <w:rsid w:val="00ED1216"/>
    <w:rsid w:val="00ED4A7A"/>
    <w:rsid w:val="00ED75AC"/>
    <w:rsid w:val="00EE0CC2"/>
    <w:rsid w:val="00EE213A"/>
    <w:rsid w:val="00EE2C34"/>
    <w:rsid w:val="00EE2F86"/>
    <w:rsid w:val="00EE3BBE"/>
    <w:rsid w:val="00EE6C33"/>
    <w:rsid w:val="00EF05CC"/>
    <w:rsid w:val="00EF0CAC"/>
    <w:rsid w:val="00EF103F"/>
    <w:rsid w:val="00EF391C"/>
    <w:rsid w:val="00EF4C66"/>
    <w:rsid w:val="00EF6E70"/>
    <w:rsid w:val="00F00FA8"/>
    <w:rsid w:val="00F01F44"/>
    <w:rsid w:val="00F036EC"/>
    <w:rsid w:val="00F07707"/>
    <w:rsid w:val="00F07A8E"/>
    <w:rsid w:val="00F07BB4"/>
    <w:rsid w:val="00F07C91"/>
    <w:rsid w:val="00F1272C"/>
    <w:rsid w:val="00F14F2D"/>
    <w:rsid w:val="00F206A7"/>
    <w:rsid w:val="00F20DA3"/>
    <w:rsid w:val="00F21F92"/>
    <w:rsid w:val="00F25F66"/>
    <w:rsid w:val="00F30D3E"/>
    <w:rsid w:val="00F32B8F"/>
    <w:rsid w:val="00F33B6E"/>
    <w:rsid w:val="00F34E91"/>
    <w:rsid w:val="00F35C46"/>
    <w:rsid w:val="00F42572"/>
    <w:rsid w:val="00F43625"/>
    <w:rsid w:val="00F4463A"/>
    <w:rsid w:val="00F45E06"/>
    <w:rsid w:val="00F529B3"/>
    <w:rsid w:val="00F57600"/>
    <w:rsid w:val="00F627AE"/>
    <w:rsid w:val="00F63DB8"/>
    <w:rsid w:val="00F655E4"/>
    <w:rsid w:val="00F6640A"/>
    <w:rsid w:val="00F672FF"/>
    <w:rsid w:val="00F6790A"/>
    <w:rsid w:val="00F7028E"/>
    <w:rsid w:val="00F72577"/>
    <w:rsid w:val="00F744D9"/>
    <w:rsid w:val="00F80693"/>
    <w:rsid w:val="00F8120C"/>
    <w:rsid w:val="00F84F91"/>
    <w:rsid w:val="00F8639C"/>
    <w:rsid w:val="00F86911"/>
    <w:rsid w:val="00F92C14"/>
    <w:rsid w:val="00F9704A"/>
    <w:rsid w:val="00F971E4"/>
    <w:rsid w:val="00F97B91"/>
    <w:rsid w:val="00FA0049"/>
    <w:rsid w:val="00FA3614"/>
    <w:rsid w:val="00FA4260"/>
    <w:rsid w:val="00FA601A"/>
    <w:rsid w:val="00FA7C40"/>
    <w:rsid w:val="00FB07DD"/>
    <w:rsid w:val="00FB2BB3"/>
    <w:rsid w:val="00FB3CAD"/>
    <w:rsid w:val="00FB4498"/>
    <w:rsid w:val="00FB471F"/>
    <w:rsid w:val="00FB554E"/>
    <w:rsid w:val="00FB6327"/>
    <w:rsid w:val="00FB78CD"/>
    <w:rsid w:val="00FB7CFC"/>
    <w:rsid w:val="00FB7D91"/>
    <w:rsid w:val="00FC0F84"/>
    <w:rsid w:val="00FC1869"/>
    <w:rsid w:val="00FC2B07"/>
    <w:rsid w:val="00FC3998"/>
    <w:rsid w:val="00FC3CBE"/>
    <w:rsid w:val="00FC6421"/>
    <w:rsid w:val="00FD0529"/>
    <w:rsid w:val="00FD1608"/>
    <w:rsid w:val="00FD2633"/>
    <w:rsid w:val="00FD2677"/>
    <w:rsid w:val="00FD34D7"/>
    <w:rsid w:val="00FD3522"/>
    <w:rsid w:val="00FD685A"/>
    <w:rsid w:val="00FD6F7F"/>
    <w:rsid w:val="00FE19A0"/>
    <w:rsid w:val="00FE1E33"/>
    <w:rsid w:val="00FE5322"/>
    <w:rsid w:val="00FE5B3E"/>
    <w:rsid w:val="00FF0FF6"/>
    <w:rsid w:val="00FF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qFormat="1"/>
    <w:lsdException w:name="footnote reference" w:uiPriority="0"/>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A5DFE"/>
    <w:pPr>
      <w:spacing w:before="180" w:after="180" w:line="360" w:lineRule="auto"/>
    </w:pPr>
    <w:rPr>
      <w:rFonts w:ascii="Arial" w:hAnsi="Arial" w:cs="Times New Roman"/>
      <w:sz w:val="24"/>
      <w:szCs w:val="22"/>
      <w:lang w:eastAsia="en-US"/>
    </w:rPr>
  </w:style>
  <w:style w:type="paragraph" w:styleId="Heading1">
    <w:name w:val="heading 1"/>
    <w:basedOn w:val="Normal"/>
    <w:next w:val="Sectionnumbering"/>
    <w:link w:val="Heading1Char"/>
    <w:uiPriority w:val="9"/>
    <w:qFormat/>
    <w:rsid w:val="00EF0CAC"/>
    <w:pPr>
      <w:keepNext/>
      <w:spacing w:before="360" w:after="240"/>
      <w:outlineLvl w:val="0"/>
    </w:pPr>
    <w:rPr>
      <w:rFonts w:cs="Arial"/>
      <w:bCs/>
      <w:caps/>
      <w:kern w:val="32"/>
      <w:szCs w:val="32"/>
    </w:rPr>
  </w:style>
  <w:style w:type="paragraph" w:styleId="Heading2">
    <w:name w:val="heading 2"/>
    <w:basedOn w:val="Normal"/>
    <w:next w:val="Sectionnumbering"/>
    <w:link w:val="Heading2Char"/>
    <w:uiPriority w:val="9"/>
    <w:qFormat/>
    <w:rsid w:val="00EF0CAC"/>
    <w:pPr>
      <w:keepNext/>
      <w:spacing w:before="240"/>
      <w:outlineLvl w:val="1"/>
    </w:pPr>
    <w:rPr>
      <w:rFonts w:cs="Arial"/>
      <w:bCs/>
      <w:i/>
      <w:iCs/>
      <w:szCs w:val="28"/>
    </w:rPr>
  </w:style>
  <w:style w:type="paragraph" w:styleId="Heading3">
    <w:name w:val="heading 3"/>
    <w:basedOn w:val="Normal"/>
    <w:next w:val="Sectionnumbering"/>
    <w:link w:val="Heading3Char"/>
    <w:uiPriority w:val="9"/>
    <w:qFormat/>
    <w:rsid w:val="00EF0CAC"/>
    <w:pPr>
      <w:keepNext/>
      <w:spacing w:before="120" w:after="12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x-none" w:eastAsia="en-US"/>
    </w:rPr>
  </w:style>
  <w:style w:type="character" w:customStyle="1" w:styleId="UnnumberedtextCharChar">
    <w:name w:val="Unnumbered text Char Char"/>
    <w:link w:val="Unnumberedtext"/>
    <w:uiPriority w:val="99"/>
    <w:locked/>
    <w:rsid w:val="00674A05"/>
    <w:rPr>
      <w:rFonts w:ascii="Arial" w:hAnsi="Arial"/>
      <w:sz w:val="22"/>
      <w:lang w:val="x-none" w:eastAsia="en-GB"/>
    </w:rPr>
  </w:style>
  <w:style w:type="paragraph" w:customStyle="1" w:styleId="legalnumbering1ai">
    <w:name w:val="legal numbering 1/a/i"/>
    <w:basedOn w:val="Normal"/>
    <w:link w:val="legalnumbering1aiChar"/>
    <w:semiHidden/>
    <w:qFormat/>
    <w:rsid w:val="00FB554E"/>
    <w:pPr>
      <w:spacing w:before="120" w:after="120"/>
      <w:contextualSpacing/>
    </w:pPr>
  </w:style>
  <w:style w:type="paragraph" w:customStyle="1" w:styleId="Affidavitnumbering">
    <w:name w:val="Affidavit numbering"/>
    <w:basedOn w:val="Normal"/>
    <w:link w:val="AffidavitnumberingCharChar"/>
    <w:semiHidden/>
    <w:qFormat/>
    <w:rsid w:val="004C3DA5"/>
    <w:pPr>
      <w:numPr>
        <w:numId w:val="6"/>
      </w:numPr>
      <w:spacing w:before="240" w:after="240" w:line="480" w:lineRule="auto"/>
      <w:jc w:val="both"/>
    </w:pPr>
  </w:style>
  <w:style w:type="paragraph" w:customStyle="1" w:styleId="Unnumberedtext">
    <w:name w:val="Unnumbered text"/>
    <w:basedOn w:val="Normal"/>
    <w:link w:val="UnnumberedtextCharChar"/>
    <w:uiPriority w:val="99"/>
    <w:rsid w:val="00674A05"/>
    <w:pPr>
      <w:jc w:val="both"/>
    </w:pPr>
    <w:rPr>
      <w:rFonts w:cs="Arial"/>
      <w:lang w:eastAsia="en-GB"/>
    </w:rPr>
  </w:style>
  <w:style w:type="character" w:customStyle="1" w:styleId="legalnumbering1aiChar">
    <w:name w:val="legal numbering 1/a/i Char"/>
    <w:link w:val="legalnumbering1ai"/>
    <w:locked/>
    <w:rsid w:val="00FB554E"/>
    <w:rPr>
      <w:rFonts w:ascii="Arial" w:hAnsi="Arial"/>
      <w:sz w:val="22"/>
      <w:lang w:val="en-ZA" w:eastAsia="en-US"/>
    </w:rPr>
  </w:style>
  <w:style w:type="character" w:customStyle="1" w:styleId="AffidavitnumberingCharChar">
    <w:name w:val="Affidavit numbering Char Char"/>
    <w:link w:val="Affidavitnumbering"/>
    <w:semiHidden/>
    <w:locked/>
    <w:rsid w:val="00EF0CAC"/>
    <w:rPr>
      <w:rFonts w:ascii="Arial" w:hAnsi="Arial"/>
      <w:sz w:val="22"/>
      <w:lang w:val="x-none" w:eastAsia="en-US"/>
    </w:rPr>
  </w:style>
  <w:style w:type="paragraph" w:customStyle="1" w:styleId="Frontpageheading">
    <w:name w:val="Front page heading"/>
    <w:basedOn w:val="Normal"/>
    <w:next w:val="Unnumberedtext"/>
    <w:semiHidden/>
    <w:rsid w:val="00FB554E"/>
    <w:pPr>
      <w:jc w:val="center"/>
    </w:pPr>
    <w:rPr>
      <w:b/>
      <w:caps/>
    </w:rPr>
  </w:style>
  <w:style w:type="table" w:styleId="TableGrid">
    <w:name w:val="Table Grid"/>
    <w:basedOn w:val="TableNormal"/>
    <w:uiPriority w:val="59"/>
    <w:semiHidden/>
    <w:rsid w:val="00FB554E"/>
    <w:pPr>
      <w:spacing w:before="180" w:after="180" w:line="312"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davit">
    <w:name w:val="Affidavit"/>
    <w:basedOn w:val="Frontpageheading"/>
    <w:next w:val="Unnumberedtext"/>
    <w:uiPriority w:val="99"/>
    <w:rsid w:val="00351223"/>
    <w:pPr>
      <w:pBdr>
        <w:top w:val="single" w:sz="18" w:space="12" w:color="auto"/>
        <w:bottom w:val="single" w:sz="18" w:space="12" w:color="auto"/>
      </w:pBdr>
    </w:pPr>
    <w:rPr>
      <w:sz w:val="26"/>
    </w:rPr>
  </w:style>
  <w:style w:type="paragraph" w:styleId="Header">
    <w:name w:val="header"/>
    <w:basedOn w:val="Normal"/>
    <w:link w:val="HeaderChar"/>
    <w:uiPriority w:val="99"/>
    <w:semiHidden/>
    <w:rsid w:val="00082F9F"/>
    <w:pPr>
      <w:tabs>
        <w:tab w:val="center" w:pos="4320"/>
        <w:tab w:val="right" w:pos="8640"/>
      </w:tabs>
    </w:pPr>
  </w:style>
  <w:style w:type="character" w:customStyle="1" w:styleId="HeaderChar">
    <w:name w:val="Header Char"/>
    <w:link w:val="Header"/>
    <w:uiPriority w:val="99"/>
    <w:semiHidden/>
    <w:locked/>
    <w:rsid w:val="00EF0CAC"/>
    <w:rPr>
      <w:rFonts w:ascii="Arial" w:hAnsi="Arial" w:cs="Times New Roman"/>
      <w:sz w:val="22"/>
      <w:lang w:val="x-none" w:eastAsia="en-US"/>
    </w:rPr>
  </w:style>
  <w:style w:type="paragraph" w:styleId="Footer">
    <w:name w:val="footer"/>
    <w:basedOn w:val="Normal"/>
    <w:link w:val="FooterChar"/>
    <w:uiPriority w:val="99"/>
    <w:semiHidden/>
    <w:rsid w:val="00082F9F"/>
    <w:pPr>
      <w:tabs>
        <w:tab w:val="center" w:pos="4320"/>
        <w:tab w:val="right" w:pos="8640"/>
      </w:tabs>
    </w:pPr>
  </w:style>
  <w:style w:type="character" w:customStyle="1" w:styleId="FooterChar">
    <w:name w:val="Footer Char"/>
    <w:link w:val="Footer"/>
    <w:uiPriority w:val="99"/>
    <w:semiHidden/>
    <w:locked/>
    <w:rPr>
      <w:rFonts w:ascii="Arial" w:hAnsi="Arial" w:cs="Times New Roman"/>
      <w:sz w:val="22"/>
      <w:szCs w:val="22"/>
      <w:lang w:val="x-none" w:eastAsia="en-US"/>
    </w:rPr>
  </w:style>
  <w:style w:type="paragraph" w:customStyle="1" w:styleId="Sectionnumbering">
    <w:name w:val="Section numbering"/>
    <w:basedOn w:val="Normal"/>
    <w:uiPriority w:val="1"/>
    <w:qFormat/>
    <w:rsid w:val="00AA5DFE"/>
    <w:pPr>
      <w:numPr>
        <w:numId w:val="27"/>
      </w:numPr>
      <w:jc w:val="both"/>
    </w:pPr>
  </w:style>
  <w:style w:type="paragraph" w:customStyle="1" w:styleId="Bullets">
    <w:name w:val="Bullets"/>
    <w:basedOn w:val="Normal"/>
    <w:rsid w:val="003B0929"/>
    <w:pPr>
      <w:numPr>
        <w:numId w:val="26"/>
      </w:numPr>
      <w:tabs>
        <w:tab w:val="clear" w:pos="360"/>
        <w:tab w:val="num" w:pos="851"/>
      </w:tabs>
      <w:ind w:left="851" w:hanging="284"/>
      <w:contextualSpacing/>
    </w:pPr>
  </w:style>
  <w:style w:type="paragraph" w:styleId="Quote">
    <w:name w:val="Quote"/>
    <w:basedOn w:val="Normal"/>
    <w:link w:val="QuoteChar"/>
    <w:uiPriority w:val="29"/>
    <w:qFormat/>
    <w:rsid w:val="00AA5DFE"/>
    <w:pPr>
      <w:spacing w:before="60" w:after="60"/>
      <w:jc w:val="both"/>
    </w:pPr>
    <w:rPr>
      <w:sz w:val="22"/>
    </w:rPr>
  </w:style>
  <w:style w:type="character" w:customStyle="1" w:styleId="QuoteChar">
    <w:name w:val="Quote Char"/>
    <w:link w:val="Quote"/>
    <w:uiPriority w:val="29"/>
    <w:locked/>
    <w:rPr>
      <w:rFonts w:ascii="Arial" w:hAnsi="Arial" w:cs="Times New Roman"/>
      <w:i/>
      <w:iCs/>
      <w:color w:val="000000"/>
      <w:sz w:val="22"/>
      <w:szCs w:val="22"/>
      <w:lang w:val="x-none" w:eastAsia="en-US"/>
    </w:rPr>
  </w:style>
  <w:style w:type="character" w:styleId="CommentReference">
    <w:name w:val="annotation reference"/>
    <w:uiPriority w:val="99"/>
    <w:semiHidden/>
    <w:rsid w:val="00137C5F"/>
    <w:rPr>
      <w:rFonts w:cs="Times New Roman"/>
      <w:sz w:val="16"/>
    </w:rPr>
  </w:style>
  <w:style w:type="paragraph" w:styleId="CommentText">
    <w:name w:val="annotation text"/>
    <w:basedOn w:val="Normal"/>
    <w:link w:val="CommentTextChar"/>
    <w:uiPriority w:val="99"/>
    <w:semiHidden/>
    <w:rsid w:val="00137C5F"/>
    <w:rPr>
      <w:sz w:val="20"/>
      <w:szCs w:val="20"/>
    </w:rPr>
  </w:style>
  <w:style w:type="character" w:customStyle="1" w:styleId="CommentTextChar">
    <w:name w:val="Comment Text Char"/>
    <w:link w:val="CommentText"/>
    <w:uiPriority w:val="99"/>
    <w:semiHidden/>
    <w:locked/>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rsid w:val="00137C5F"/>
    <w:rPr>
      <w:b/>
      <w:bCs/>
    </w:rPr>
  </w:style>
  <w:style w:type="character" w:customStyle="1" w:styleId="CommentSubjectChar">
    <w:name w:val="Comment Subject Char"/>
    <w:link w:val="CommentSubject"/>
    <w:uiPriority w:val="99"/>
    <w:semiHidden/>
    <w:locked/>
    <w:rPr>
      <w:rFonts w:ascii="Arial" w:hAnsi="Arial" w:cs="Times New Roman"/>
      <w:b/>
      <w:bCs/>
      <w:lang w:val="x-none" w:eastAsia="en-US"/>
    </w:rPr>
  </w:style>
  <w:style w:type="paragraph" w:styleId="BalloonText">
    <w:name w:val="Balloon Text"/>
    <w:basedOn w:val="Normal"/>
    <w:link w:val="BalloonTextChar"/>
    <w:uiPriority w:val="99"/>
    <w:semiHidden/>
    <w:rsid w:val="00137C5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ectionnumbering2">
    <w:name w:val="Section numbering 2"/>
    <w:basedOn w:val="Normal"/>
    <w:uiPriority w:val="1"/>
    <w:qFormat/>
    <w:rsid w:val="001D49A2"/>
    <w:pPr>
      <w:numPr>
        <w:ilvl w:val="1"/>
        <w:numId w:val="27"/>
      </w:numPr>
      <w:jc w:val="both"/>
    </w:pPr>
  </w:style>
  <w:style w:type="paragraph" w:customStyle="1" w:styleId="Sectionnumbering3">
    <w:name w:val="Section numbering 3"/>
    <w:basedOn w:val="Normal"/>
    <w:uiPriority w:val="1"/>
    <w:qFormat/>
    <w:rsid w:val="00C05296"/>
    <w:pPr>
      <w:numPr>
        <w:ilvl w:val="2"/>
        <w:numId w:val="27"/>
      </w:numPr>
      <w:jc w:val="both"/>
    </w:pPr>
  </w:style>
  <w:style w:type="paragraph" w:styleId="FootnoteText">
    <w:name w:val="footnote text"/>
    <w:basedOn w:val="Normal"/>
    <w:link w:val="FootnoteTextChar"/>
    <w:uiPriority w:val="99"/>
    <w:unhideWhenUsed/>
    <w:rsid w:val="006415A4"/>
    <w:pPr>
      <w:spacing w:before="0" w:after="0" w:line="240" w:lineRule="auto"/>
    </w:pPr>
    <w:rPr>
      <w:sz w:val="20"/>
      <w:szCs w:val="20"/>
    </w:rPr>
  </w:style>
  <w:style w:type="character" w:customStyle="1" w:styleId="FootnoteTextChar">
    <w:name w:val="Footnote Text Char"/>
    <w:link w:val="FootnoteText"/>
    <w:uiPriority w:val="99"/>
    <w:locked/>
    <w:rsid w:val="006415A4"/>
    <w:rPr>
      <w:rFonts w:ascii="Arial" w:hAnsi="Arial" w:cs="Times New Roman"/>
      <w:lang w:val="x-none" w:eastAsia="en-US"/>
    </w:rPr>
  </w:style>
  <w:style w:type="character" w:styleId="FootnoteReference">
    <w:name w:val="footnote reference"/>
    <w:uiPriority w:val="99"/>
    <w:semiHidden/>
    <w:rsid w:val="006415A4"/>
    <w:rPr>
      <w:rFonts w:cs="Times New Roman"/>
      <w:vertAlign w:val="superscript"/>
    </w:rPr>
  </w:style>
  <w:style w:type="paragraph" w:styleId="ListParagraph">
    <w:name w:val="List Paragraph"/>
    <w:basedOn w:val="Normal"/>
    <w:uiPriority w:val="34"/>
    <w:qFormat/>
    <w:rsid w:val="00F744D9"/>
    <w:pPr>
      <w:ind w:left="720"/>
      <w:contextualSpacing/>
    </w:pPr>
  </w:style>
  <w:style w:type="paragraph" w:customStyle="1" w:styleId="1AutoList1">
    <w:name w:val="1AutoList1"/>
    <w:rsid w:val="0097356F"/>
    <w:pPr>
      <w:widowControl w:val="0"/>
      <w:tabs>
        <w:tab w:val="left" w:pos="720"/>
      </w:tabs>
      <w:autoSpaceDE w:val="0"/>
      <w:autoSpaceDN w:val="0"/>
      <w:adjustRightInd w:val="0"/>
      <w:ind w:left="720" w:hanging="720"/>
      <w:jc w:val="both"/>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67722">
      <w:marLeft w:val="0"/>
      <w:marRight w:val="0"/>
      <w:marTop w:val="0"/>
      <w:marBottom w:val="0"/>
      <w:divBdr>
        <w:top w:val="none" w:sz="0" w:space="0" w:color="auto"/>
        <w:left w:val="none" w:sz="0" w:space="0" w:color="auto"/>
        <w:bottom w:val="none" w:sz="0" w:space="0" w:color="auto"/>
        <w:right w:val="none" w:sz="0" w:space="0" w:color="auto"/>
      </w:divBdr>
    </w:div>
    <w:div w:id="1922567724">
      <w:marLeft w:val="0"/>
      <w:marRight w:val="0"/>
      <w:marTop w:val="0"/>
      <w:marBottom w:val="0"/>
      <w:divBdr>
        <w:top w:val="none" w:sz="0" w:space="0" w:color="auto"/>
        <w:left w:val="none" w:sz="0" w:space="0" w:color="auto"/>
        <w:bottom w:val="none" w:sz="0" w:space="0" w:color="auto"/>
        <w:right w:val="none" w:sz="0" w:space="0" w:color="auto"/>
      </w:divBdr>
    </w:div>
    <w:div w:id="1922567726">
      <w:marLeft w:val="360"/>
      <w:marRight w:val="360"/>
      <w:marTop w:val="0"/>
      <w:marBottom w:val="0"/>
      <w:divBdr>
        <w:top w:val="none" w:sz="0" w:space="0" w:color="auto"/>
        <w:left w:val="none" w:sz="0" w:space="0" w:color="auto"/>
        <w:bottom w:val="none" w:sz="0" w:space="0" w:color="auto"/>
        <w:right w:val="none" w:sz="0" w:space="0" w:color="auto"/>
      </w:divBdr>
      <w:divsChild>
        <w:div w:id="1922567721">
          <w:marLeft w:val="1134"/>
          <w:marRight w:val="0"/>
          <w:marTop w:val="60"/>
          <w:marBottom w:val="0"/>
          <w:divBdr>
            <w:top w:val="none" w:sz="0" w:space="0" w:color="auto"/>
            <w:left w:val="none" w:sz="0" w:space="0" w:color="auto"/>
            <w:bottom w:val="none" w:sz="0" w:space="0" w:color="auto"/>
            <w:right w:val="none" w:sz="0" w:space="0" w:color="auto"/>
          </w:divBdr>
        </w:div>
        <w:div w:id="1922567723">
          <w:marLeft w:val="567"/>
          <w:marRight w:val="567"/>
          <w:marTop w:val="20"/>
          <w:marBottom w:val="20"/>
          <w:divBdr>
            <w:top w:val="none" w:sz="0" w:space="0" w:color="auto"/>
            <w:left w:val="none" w:sz="0" w:space="0" w:color="auto"/>
            <w:bottom w:val="none" w:sz="0" w:space="0" w:color="auto"/>
            <w:right w:val="none" w:sz="0" w:space="0" w:color="auto"/>
          </w:divBdr>
        </w:div>
        <w:div w:id="1922567725">
          <w:marLeft w:val="567"/>
          <w:marRight w:val="567"/>
          <w:marTop w:val="20"/>
          <w:marBottom w:val="20"/>
          <w:divBdr>
            <w:top w:val="none" w:sz="0" w:space="0" w:color="auto"/>
            <w:left w:val="none" w:sz="0" w:space="0" w:color="auto"/>
            <w:bottom w:val="none" w:sz="0" w:space="0" w:color="auto"/>
            <w:right w:val="none" w:sz="0" w:space="0" w:color="auto"/>
          </w:divBdr>
        </w:div>
        <w:div w:id="1922567727">
          <w:marLeft w:val="0"/>
          <w:marRight w:val="0"/>
          <w:marTop w:val="120"/>
          <w:marBottom w:val="0"/>
          <w:divBdr>
            <w:top w:val="none" w:sz="0" w:space="0" w:color="auto"/>
            <w:left w:val="none" w:sz="0" w:space="0" w:color="auto"/>
            <w:bottom w:val="none" w:sz="0" w:space="0" w:color="auto"/>
            <w:right w:val="none" w:sz="0" w:space="0" w:color="auto"/>
          </w:divBdr>
        </w:div>
        <w:div w:id="1922567728">
          <w:marLeft w:val="0"/>
          <w:marRight w:val="0"/>
          <w:marTop w:val="240"/>
          <w:marBottom w:val="0"/>
          <w:divBdr>
            <w:top w:val="none" w:sz="0" w:space="0" w:color="auto"/>
            <w:left w:val="none" w:sz="0" w:space="0" w:color="auto"/>
            <w:bottom w:val="none" w:sz="0" w:space="0" w:color="auto"/>
            <w:right w:val="none" w:sz="0" w:space="0" w:color="auto"/>
          </w:divBdr>
        </w:div>
        <w:div w:id="1922567730">
          <w:marLeft w:val="1134"/>
          <w:marRight w:val="0"/>
          <w:marTop w:val="60"/>
          <w:marBottom w:val="0"/>
          <w:divBdr>
            <w:top w:val="none" w:sz="0" w:space="0" w:color="auto"/>
            <w:left w:val="none" w:sz="0" w:space="0" w:color="auto"/>
            <w:bottom w:val="none" w:sz="0" w:space="0" w:color="auto"/>
            <w:right w:val="none" w:sz="0" w:space="0" w:color="auto"/>
          </w:divBdr>
        </w:div>
        <w:div w:id="1922567731">
          <w:marLeft w:val="1134"/>
          <w:marRight w:val="0"/>
          <w:marTop w:val="60"/>
          <w:marBottom w:val="0"/>
          <w:divBdr>
            <w:top w:val="none" w:sz="0" w:space="0" w:color="auto"/>
            <w:left w:val="none" w:sz="0" w:space="0" w:color="auto"/>
            <w:bottom w:val="none" w:sz="0" w:space="0" w:color="auto"/>
            <w:right w:val="none" w:sz="0" w:space="0" w:color="auto"/>
          </w:divBdr>
        </w:div>
        <w:div w:id="1922567733">
          <w:marLeft w:val="567"/>
          <w:marRight w:val="567"/>
          <w:marTop w:val="20"/>
          <w:marBottom w:val="20"/>
          <w:divBdr>
            <w:top w:val="none" w:sz="0" w:space="0" w:color="auto"/>
            <w:left w:val="none" w:sz="0" w:space="0" w:color="auto"/>
            <w:bottom w:val="none" w:sz="0" w:space="0" w:color="auto"/>
            <w:right w:val="none" w:sz="0" w:space="0" w:color="auto"/>
          </w:divBdr>
        </w:div>
        <w:div w:id="1922567735">
          <w:marLeft w:val="0"/>
          <w:marRight w:val="0"/>
          <w:marTop w:val="120"/>
          <w:marBottom w:val="0"/>
          <w:divBdr>
            <w:top w:val="none" w:sz="0" w:space="0" w:color="auto"/>
            <w:left w:val="none" w:sz="0" w:space="0" w:color="auto"/>
            <w:bottom w:val="none" w:sz="0" w:space="0" w:color="auto"/>
            <w:right w:val="none" w:sz="0" w:space="0" w:color="auto"/>
          </w:divBdr>
        </w:div>
      </w:divsChild>
    </w:div>
    <w:div w:id="1922567729">
      <w:marLeft w:val="0"/>
      <w:marRight w:val="0"/>
      <w:marTop w:val="0"/>
      <w:marBottom w:val="0"/>
      <w:divBdr>
        <w:top w:val="none" w:sz="0" w:space="0" w:color="auto"/>
        <w:left w:val="none" w:sz="0" w:space="0" w:color="auto"/>
        <w:bottom w:val="none" w:sz="0" w:space="0" w:color="auto"/>
        <w:right w:val="none" w:sz="0" w:space="0" w:color="auto"/>
      </w:divBdr>
    </w:div>
    <w:div w:id="1922567732">
      <w:marLeft w:val="0"/>
      <w:marRight w:val="0"/>
      <w:marTop w:val="0"/>
      <w:marBottom w:val="0"/>
      <w:divBdr>
        <w:top w:val="none" w:sz="0" w:space="0" w:color="auto"/>
        <w:left w:val="none" w:sz="0" w:space="0" w:color="auto"/>
        <w:bottom w:val="none" w:sz="0" w:space="0" w:color="auto"/>
        <w:right w:val="none" w:sz="0" w:space="0" w:color="auto"/>
      </w:divBdr>
    </w:div>
    <w:div w:id="1922567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Baartman\Documents\My%20Dropbox\2015\SCA%20-15\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B9B6-5BC5-466D-BAC5-2C805EE6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 judgment template.dotx</Template>
  <TotalTime>43</TotalTime>
  <Pages>25</Pages>
  <Words>7190</Words>
  <Characters>40988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Legal numbering egs</vt:lpstr>
    </vt:vector>
  </TitlesOfParts>
  <Company>Hewlett-Packard</Company>
  <LinksUpToDate>false</LinksUpToDate>
  <CharactersWithSpaces>48082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numbering egs</dc:title>
  <dc:creator>Elizabeth Baartman</dc:creator>
  <cp:lastModifiedBy>Peet du Plessis</cp:lastModifiedBy>
  <cp:revision>3</cp:revision>
  <cp:lastPrinted>2016-01-28T07:39:00Z</cp:lastPrinted>
  <dcterms:created xsi:type="dcterms:W3CDTF">2016-02-29T07:51:00Z</dcterms:created>
  <dcterms:modified xsi:type="dcterms:W3CDTF">2016-02-29T08:33:00Z</dcterms:modified>
</cp:coreProperties>
</file>